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color w:val="000000"/>
          <w:shd w:fill="FFFFFF" w:val="clear"/>
        </w:rPr>
      </w:pPr>
      <w:r>
        <w:rPr>
          <w:color w:val="000000"/>
          <w:shd w:fill="FFFFFF" w:val="clear"/>
        </w:rPr>
        <w:t> </w:t>
      </w: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Pursuant to Section 13 or 15(d) of the 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September 8, 2026</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NBT BANCORP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center"/>
        <w:rPr>
          <w:sz w:val="20"/>
        </w:rPr>
      </w:pPr>
      <w:r>
        <w:rPr>
          <w:sz w:val="20"/>
        </w:rPr>
      </w:r>
    </w:p>
    <w:tbl>
      <w:tblPr>
        <w:tblW w:w="9975" w:type="dxa"/>
        <w:jc w:val="left"/>
        <w:tblInd w:w="0" w:type="dxa"/>
        <w:tblLayout w:type="fixed"/>
        <w:tblCellMar>
          <w:top w:w="0" w:type="dxa"/>
          <w:left w:w="0" w:type="dxa"/>
          <w:bottom w:w="0" w:type="dxa"/>
          <w:right w:w="0" w:type="dxa"/>
        </w:tblCellMar>
      </w:tblPr>
      <w:tblGrid>
        <w:gridCol w:w="4865"/>
        <w:gridCol w:w="2210"/>
        <w:gridCol w:w="2900"/>
      </w:tblGrid>
      <w:tr>
        <w:trPr/>
        <w:tc>
          <w:tcPr>
            <w:tcW w:w="48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000-14703</w:t>
            </w:r>
          </w:p>
        </w:tc>
        <w:tc>
          <w:tcPr>
            <w:tcW w:w="29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16-1268674</w:t>
            </w:r>
          </w:p>
        </w:tc>
      </w:tr>
      <w:tr>
        <w:trPr/>
        <w:tc>
          <w:tcPr>
            <w:tcW w:w="48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 or organization)</w:t>
            </w:r>
          </w:p>
        </w:tc>
        <w:tc>
          <w:tcPr>
            <w:tcW w:w="22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90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52 South Broad Street, Norwich, New York 13815</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(Zip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(607) 337-2265</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center"/>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7890" w:type="dxa"/>
        <w:jc w:val="left"/>
        <w:tblInd w:w="0" w:type="dxa"/>
        <w:tblLayout w:type="fixed"/>
        <w:tblCellMar>
          <w:top w:w="0" w:type="dxa"/>
          <w:left w:w="0" w:type="dxa"/>
          <w:bottom w:w="0" w:type="dxa"/>
          <w:right w:w="0" w:type="dxa"/>
        </w:tblCellMar>
      </w:tblPr>
      <w:tblGrid>
        <w:gridCol w:w="3395"/>
        <w:gridCol w:w="1340"/>
        <w:gridCol w:w="3155"/>
      </w:tblGrid>
      <w:tr>
        <w:trPr/>
        <w:tc>
          <w:tcPr>
            <w:tcW w:w="3395"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Title of class</w:t>
            </w:r>
          </w:p>
        </w:tc>
        <w:tc>
          <w:tcPr>
            <w:tcW w:w="1340"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Trading Symbol</w:t>
            </w:r>
          </w:p>
        </w:tc>
        <w:tc>
          <w:tcPr>
            <w:tcW w:w="3155" w:type="dxa"/>
            <w:tcBorders/>
            <w:vAlign w:val="center"/>
          </w:tcPr>
          <w:p>
            <w:pPr>
              <w:pStyle w:val="TableContents"/>
              <w:bidi w:val="0"/>
              <w:spacing w:before="0" w:after="0"/>
              <w:jc w:val="center"/>
              <w:rPr>
                <w:rFonts w:ascii="Times New Roman" w:hAnsi="Times New Roman"/>
                <w:sz w:val="20"/>
                <w:u w:val="single"/>
              </w:rPr>
            </w:pPr>
            <w:r>
              <w:rPr>
                <w:rFonts w:ascii="Times New Roman" w:hAnsi="Times New Roman"/>
                <w:sz w:val="20"/>
                <w:u w:val="single"/>
              </w:rPr>
              <w:t>Name of exchange on which registered</w:t>
            </w:r>
          </w:p>
        </w:tc>
      </w:tr>
      <w:tr>
        <w:trPr/>
        <w:tc>
          <w:tcPr>
            <w:tcW w:w="339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$0.01 per share</w:t>
            </w:r>
          </w:p>
        </w:tc>
        <w:tc>
          <w:tcPr>
            <w:tcW w:w="134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NBTB</w:t>
            </w:r>
          </w:p>
        </w:tc>
        <w:tc>
          <w:tcPr>
            <w:tcW w:w="31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both"/>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3025" w:type="dxa"/>
        <w:jc w:val="left"/>
        <w:tblInd w:w="0" w:type="dxa"/>
        <w:tblLayout w:type="fixed"/>
        <w:tblCellMar>
          <w:top w:w="0" w:type="dxa"/>
          <w:left w:w="0" w:type="dxa"/>
          <w:bottom w:w="0" w:type="dxa"/>
          <w:right w:w="0" w:type="dxa"/>
        </w:tblCellMar>
      </w:tblPr>
      <w:tblGrid>
        <w:gridCol w:w="830"/>
        <w:gridCol w:w="2195"/>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On September 8, 2026 NBT Bancorp Inc. (NASDAQ: NBTB), the holding company for NBT Bank N.A., made available a presentation that members of the executive management team intend to use during future meetings with investors and analysts. Presentation slides are available on the Investor Presentations page of NBT Bancorp Inc.’s website at </w:t>
      </w:r>
      <w:r>
        <w:rPr>
          <w:rFonts w:ascii="Times New Roman" w:hAnsi="Times New Roman"/>
          <w:color w:val="000000"/>
          <w:sz w:val="20"/>
          <w:u w:val="single"/>
          <w:shd w:fill="FFFFFF" w:val="clear"/>
        </w:rPr>
        <w:t>www.nbtbancorp.com</w:t>
      </w:r>
      <w:r>
        <w:rPr>
          <w:rFonts w:ascii="Times New Roman" w:hAnsi="Times New Roman"/>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center"/>
        <w:rPr>
          <w:sz w:val="20"/>
        </w:rPr>
      </w:pPr>
      <w:r>
        <w:rPr>
          <w:sz w:val="20"/>
        </w:rPr>
      </w:r>
    </w:p>
    <w:p>
      <w:pPr>
        <w:pStyle w:val="TextBody"/>
        <w:bidi w:val="0"/>
        <w:spacing w:before="0" w:after="0"/>
        <w:ind w:left="0" w:right="0" w:firstLine="54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6645" w:type="dxa"/>
        <w:jc w:val="left"/>
        <w:tblInd w:w="0" w:type="dxa"/>
        <w:tblLayout w:type="fixed"/>
        <w:tblCellMar>
          <w:top w:w="0" w:type="dxa"/>
          <w:left w:w="0" w:type="dxa"/>
          <w:bottom w:w="0" w:type="dxa"/>
          <w:right w:w="0" w:type="dxa"/>
        </w:tblCellMar>
      </w:tblPr>
      <w:tblGrid>
        <w:gridCol w:w="2015"/>
        <w:gridCol w:w="320"/>
        <w:gridCol w:w="4310"/>
      </w:tblGrid>
      <w:tr>
        <w:trPr/>
        <w:tc>
          <w:tcPr>
            <w:tcW w:w="2015"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NBT BANCORP INC.</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September 8, 2026</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431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 Annette L. Burns</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Annette L. Burns</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415</Words>
  <Characters>2289</Characters>
  <CharactersWithSpaces>2664</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