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Boynton Kimberly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 SOUTH BROAD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NORWICH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13815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NBT BANCORP INC</w:t>
              </w:r>
            </w:hyperlink>
            <w:r>
              <w:rPr/>
              <w:t xml:space="preserve"> [ </w:t>
            </w:r>
            <w:r>
              <w:rPr>
                <w:rFonts w:ascii="Times;serif" w:hAnsi="Times;serif"/>
                <w:color w:val="0000FF"/>
                <w:sz w:val="24"/>
                <w:shd w:fill="FFFFFF" w:val="clear"/>
              </w:rPr>
              <w:t>NBTB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NBT Bancorp Inc.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Annette L. Burns, Power of Attorney For: Kimberly A. Boynton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jc w:val="left"/>
        <w:rPr/>
      </w:pPr>
      <w:r>
        <w:rPr/>
      </w:r>
      <w:bookmarkStart w:id="2" w:name="ef20083219_ex24.htm"/>
      <w:bookmarkStart w:id="3" w:name="ksef20083219_ex24"/>
      <w:bookmarkStart w:id="4" w:name="ef20083219_ex24.htm"/>
      <w:bookmarkStart w:id="5" w:name="ksef20083219_ex24"/>
      <w:bookmarkEnd w:id="4"/>
      <w:bookmarkEnd w:id="5"/>
      <w:r>
        <w:br w:type="page"/>
      </w:r>
    </w:p>
    <w:p>
      <w:pPr>
        <w:pStyle w:val="TextBody"/>
        <w:bidi w:val="0"/>
        <w:spacing w:before="0" w:after="0"/>
        <w:jc w:val="right"/>
        <w:rPr>
          <w:b/>
          <w:sz w:val="24"/>
        </w:rPr>
      </w:pPr>
      <w:r>
        <w:rPr>
          <w:b/>
          <w:sz w:val="20"/>
        </w:rPr>
        <w:t>Exhibit 24</w:t>
      </w:r>
      <w:r>
        <w:rPr>
          <w:b/>
          <w:sz w:val="24"/>
        </w:rPr>
        <w:t xml:space="preserve"> </w:t>
      </w:r>
    </w:p>
    <w:p>
      <w:pPr>
        <w:pStyle w:val="TextBody"/>
        <w:bidi w:val="0"/>
        <w:spacing w:before="0" w:after="0"/>
        <w:jc w:val="center"/>
        <w:rPr/>
      </w:pPr>
      <w:r>
        <w:rPr/>
        <w:t xml:space="preserve">  </w:t>
      </w:r>
    </w:p>
    <w:p>
      <w:pPr>
        <w:pStyle w:val="TextBody"/>
        <w:bidi w:val="0"/>
        <w:spacing w:before="0" w:after="0"/>
        <w:jc w:val="center"/>
        <w:rPr>
          <w:b/>
          <w:sz w:val="24"/>
        </w:rPr>
      </w:pPr>
      <w:r>
        <w:rPr>
          <w:b/>
          <w:sz w:val="20"/>
        </w:rPr>
        <w:t>POWER OF ATTORNEY</w:t>
      </w:r>
      <w:r>
        <w:rPr>
          <w:b/>
          <w:sz w:val="24"/>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sz w:val="24"/>
        </w:rPr>
      </w:pPr>
      <w:r>
        <w:rPr>
          <w:sz w:val="20"/>
        </w:rPr>
        <w:t>Know all by these presents, that the undersigned hereby constitutes and appoints each Annette Burns, Scott Kingsley and Martin Randolph Sparks signing singly, and with full power of substitution, the undersigned’s true and lawful attorney-in-fact to:</w:t>
      </w:r>
      <w:r>
        <w:rPr>
          <w:sz w:val="24"/>
        </w:rPr>
        <w:t xml:space="preserve"> </w:t>
      </w:r>
    </w:p>
    <w:p>
      <w:pPr>
        <w:pStyle w:val="TextBody"/>
        <w:bidi w:val="0"/>
        <w:spacing w:before="0" w:after="0"/>
        <w:jc w:val="left"/>
        <w:rPr/>
      </w:pPr>
      <w:r>
        <w:rPr/>
        <w:t xml:space="preserve">  </w:t>
      </w:r>
    </w:p>
    <w:p>
      <w:pPr>
        <w:pStyle w:val="TextBody"/>
        <w:bidi w:val="0"/>
        <w:spacing w:before="0" w:after="0"/>
        <w:ind w:left="720" w:right="0" w:firstLine="540"/>
        <w:jc w:val="left"/>
        <w:rPr/>
      </w:pPr>
      <w:r>
        <w:rPr/>
        <w:t xml:space="preserve">execute for and on behalf of the undersigned, in the undersigned’s capacity as an officer and/or director of NBT Bancorp Inc. (the “Company”), Forms 3, 4, and 5 in accordance with Section 16(a) of the Securities Exchange Act of 1934 and the rules thereunder.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720" w:right="0" w:firstLine="540"/>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720" w:right="0" w:firstLine="540"/>
        <w:jc w:val="left"/>
        <w:rPr/>
      </w:pPr>
      <w:r>
        <w:rPr/>
        <w:t xml:space="preserve">take any other action of any type whatsoever in connection with the foregoing which, in the opinion of such attorney-in-fact, may be of benefit to, and in the best interest of, or legally required by, the undersigned.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 writing delivered to the foregoing attorneys-in-fact.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IN WITNESS WHEREOF, the undersigned has caused this Power of Attorney to be executed as of this 23 day of September, 2026. </w:t>
      </w:r>
    </w:p>
    <w:p>
      <w:pPr>
        <w:pStyle w:val="TextBody"/>
        <w:bidi w:val="0"/>
        <w:spacing w:before="0" w:after="0"/>
        <w:jc w:val="left"/>
        <w:rPr/>
      </w:pPr>
      <w:r>
        <w:rPr/>
        <w:t xml:space="preserve">  </w:t>
      </w:r>
    </w:p>
    <w:tbl>
      <w:tblPr>
        <w:tblW w:w="2727" w:type="dxa"/>
        <w:jc w:val="left"/>
        <w:tblInd w:w="0" w:type="dxa"/>
        <w:tblLayout w:type="fixed"/>
        <w:tblCellMar>
          <w:top w:w="0" w:type="dxa"/>
          <w:left w:w="0" w:type="dxa"/>
          <w:bottom w:w="0" w:type="dxa"/>
          <w:right w:w="0" w:type="dxa"/>
        </w:tblCellMar>
      </w:tblPr>
      <w:tblGrid>
        <w:gridCol w:w="221"/>
        <w:gridCol w:w="2506"/>
      </w:tblGrid>
      <w:tr>
        <w:trPr/>
        <w:tc>
          <w:tcPr>
            <w:tcW w:w="221" w:type="dxa"/>
            <w:tcBorders/>
            <w:vAlign w:val="center"/>
          </w:tcPr>
          <w:p>
            <w:pPr>
              <w:pStyle w:val="TableContents"/>
              <w:bidi w:val="0"/>
              <w:spacing w:before="0" w:after="283"/>
              <w:jc w:val="left"/>
              <w:rPr/>
            </w:pPr>
            <w:r>
              <w:rPr/>
              <w:t xml:space="preserve">  </w:t>
            </w:r>
          </w:p>
        </w:tc>
        <w:tc>
          <w:tcPr>
            <w:tcW w:w="2506" w:type="dxa"/>
            <w:tcBorders/>
            <w:vAlign w:val="center"/>
          </w:tcPr>
          <w:p>
            <w:pPr>
              <w:pStyle w:val="TableContents"/>
              <w:bidi w:val="0"/>
              <w:spacing w:before="0" w:after="0"/>
              <w:jc w:val="left"/>
              <w:rPr/>
            </w:pPr>
            <w:r>
              <w:rPr/>
              <w:t> </w:t>
            </w:r>
          </w:p>
        </w:tc>
      </w:tr>
      <w:tr>
        <w:trPr/>
        <w:tc>
          <w:tcPr>
            <w:tcW w:w="221" w:type="dxa"/>
            <w:tcBorders/>
            <w:vAlign w:val="center"/>
          </w:tcPr>
          <w:p>
            <w:pPr>
              <w:pStyle w:val="TableContents"/>
              <w:bidi w:val="0"/>
              <w:spacing w:before="0" w:after="283"/>
              <w:jc w:val="left"/>
              <w:rPr/>
            </w:pPr>
            <w:r>
              <w:rPr/>
              <w:t xml:space="preserve">  </w:t>
            </w:r>
          </w:p>
        </w:tc>
        <w:tc>
          <w:tcPr>
            <w:tcW w:w="2506" w:type="dxa"/>
            <w:tcBorders>
              <w:bottom w:val="single" w:sz="12" w:space="0" w:color="000000"/>
            </w:tcBorders>
            <w:tcMar>
              <w:bottom w:w="28" w:type="dxa"/>
            </w:tcMar>
            <w:vAlign w:val="center"/>
          </w:tcPr>
          <w:p>
            <w:pPr>
              <w:pStyle w:val="TableContents"/>
              <w:bidi w:val="0"/>
              <w:spacing w:before="0" w:after="283"/>
              <w:jc w:val="left"/>
              <w:rPr/>
            </w:pPr>
            <w:r>
              <w:rPr/>
              <w:t>/s/ </w:t>
            </w:r>
            <w:r>
              <w:rPr>
                <w:spacing w:val="0"/>
              </w:rPr>
              <w:t>Kimberly A. Boynton</w:t>
            </w:r>
          </w:p>
        </w:tc>
      </w:tr>
      <w:tr>
        <w:trPr/>
        <w:tc>
          <w:tcPr>
            <w:tcW w:w="221" w:type="dxa"/>
            <w:tcBorders/>
            <w:vAlign w:val="center"/>
          </w:tcPr>
          <w:p>
            <w:pPr>
              <w:pStyle w:val="TableContents"/>
              <w:bidi w:val="0"/>
              <w:spacing w:before="0" w:after="283"/>
              <w:jc w:val="left"/>
              <w:rPr/>
            </w:pPr>
            <w:r>
              <w:rPr/>
              <w:t xml:space="preserve">  </w:t>
            </w:r>
          </w:p>
        </w:tc>
        <w:tc>
          <w:tcPr>
            <w:tcW w:w="2506" w:type="dxa"/>
            <w:tcBorders/>
            <w:vAlign w:val="center"/>
          </w:tcPr>
          <w:p>
            <w:pPr>
              <w:pStyle w:val="TableContents"/>
              <w:bidi w:val="0"/>
              <w:spacing w:before="0" w:after="0"/>
              <w:jc w:val="left"/>
              <w:rPr/>
            </w:pPr>
            <w:r>
              <w:rPr/>
              <w:t xml:space="preserve">Kimberly A. Boynton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0861" TargetMode="External"/><Relationship Id="rId3" Type="http://schemas.openxmlformats.org/officeDocument/2006/relationships/hyperlink" Target="http://www.sec.gov/cgi-bin/browse-edgar?action=getcompany&amp;CIK=000079035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801</Words>
  <Characters>4241</Characters>
  <CharactersWithSpaces>5024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