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color w:val="000000"/>
          <w:shd w:fill="FFFFFF" w:val="clear"/>
        </w:rPr>
      </w:pPr>
      <w:r>
        <w:rPr>
          <w:color w:val="000000"/>
          <w:shd w:fill="FFFFFF" w:val="clear"/>
        </w:rPr>
        <w:t> </w:t>
      </w:r>
      <w:r>
        <w:rPr>
          <w:rFonts w:ascii="Times New Roman" w:hAnsi="Times New Roman"/>
          <w:b/>
          <w:color w:val="000000"/>
          <w:sz w:val="24"/>
          <w:shd w:fill="FFFFFF" w:val="clear"/>
        </w:rPr>
        <w:t>WASHINGTON, D.C. 20549</w:t>
      </w:r>
    </w:p>
    <w:p>
      <w:pPr>
        <w:pStyle w:val="HorizontalLine"/>
        <w:bidi w:val="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Pursuant to Section 13 or 15(d) of the Securities Exchange Act of 1934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July 27, 2026</w:t>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NBT BANCORP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center"/>
        <w:rPr>
          <w:sz w:val="20"/>
        </w:rPr>
      </w:pPr>
      <w:r>
        <w:rPr>
          <w:sz w:val="20"/>
        </w:rPr>
      </w:r>
    </w:p>
    <w:tbl>
      <w:tblPr>
        <w:tblW w:w="10155" w:type="dxa"/>
        <w:jc w:val="left"/>
        <w:tblInd w:w="0" w:type="dxa"/>
        <w:tblLayout w:type="fixed"/>
        <w:tblCellMar>
          <w:top w:w="0" w:type="dxa"/>
          <w:left w:w="0" w:type="dxa"/>
          <w:bottom w:w="0" w:type="dxa"/>
          <w:right w:w="0" w:type="dxa"/>
        </w:tblCellMar>
      </w:tblPr>
      <w:tblGrid>
        <w:gridCol w:w="4865"/>
        <w:gridCol w:w="2390"/>
        <w:gridCol w:w="2900"/>
      </w:tblGrid>
      <w:tr>
        <w:trPr/>
        <w:tc>
          <w:tcPr>
            <w:tcW w:w="48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 or organization)</w:t>
            </w:r>
          </w:p>
        </w:tc>
        <w:tc>
          <w:tcPr>
            <w:tcW w:w="239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000-14703</w:t>
            </w:r>
          </w:p>
          <w:p>
            <w:pPr>
              <w:pStyle w:val="TableContents"/>
              <w:bidi w:val="0"/>
              <w:spacing w:before="0" w:after="0"/>
              <w:jc w:val="center"/>
              <w:rPr/>
            </w:pPr>
            <w:r>
              <w:rPr/>
              <w:t>   </w:t>
            </w:r>
            <w:r>
              <w:rPr>
                <w:rFonts w:ascii="Times New Roman" w:hAnsi="Times New Roman"/>
                <w:sz w:val="20"/>
              </w:rPr>
              <w:t>(Commission File Number)</w:t>
            </w:r>
          </w:p>
        </w:tc>
        <w:tc>
          <w:tcPr>
            <w:tcW w:w="29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16-1268674</w:t>
            </w:r>
          </w:p>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52 South Broad Street, Norwich, New York 13815</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(Zip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Registrant’s telephone number, including area code: </w:t>
      </w:r>
      <w:r>
        <w:rPr>
          <w:rFonts w:ascii="Times New Roman" w:hAnsi="Times New Roman"/>
          <w:b/>
          <w:color w:val="000000"/>
          <w:sz w:val="20"/>
          <w:shd w:fill="FFFFFF" w:val="clear"/>
        </w:rPr>
        <w:t>(607) 337-2265</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center"/>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ind w:left="540" w:right="0" w:hanging="54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ind w:left="540" w:right="0" w:hanging="54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7890" w:type="dxa"/>
        <w:jc w:val="left"/>
        <w:tblInd w:w="0" w:type="dxa"/>
        <w:tblLayout w:type="fixed"/>
        <w:tblCellMar>
          <w:top w:w="0" w:type="dxa"/>
          <w:left w:w="0" w:type="dxa"/>
          <w:bottom w:w="0" w:type="dxa"/>
          <w:right w:w="0" w:type="dxa"/>
        </w:tblCellMar>
      </w:tblPr>
      <w:tblGrid>
        <w:gridCol w:w="3395"/>
        <w:gridCol w:w="1340"/>
        <w:gridCol w:w="3155"/>
      </w:tblGrid>
      <w:tr>
        <w:trPr/>
        <w:tc>
          <w:tcPr>
            <w:tcW w:w="3395" w:type="dxa"/>
            <w:tcBorders/>
            <w:vAlign w:val="center"/>
          </w:tcPr>
          <w:p>
            <w:pPr>
              <w:pStyle w:val="TableContents"/>
              <w:bidi w:val="0"/>
              <w:spacing w:before="0" w:after="0"/>
              <w:jc w:val="center"/>
              <w:rPr>
                <w:rFonts w:ascii="Times New Roman" w:hAnsi="Times New Roman"/>
                <w:sz w:val="20"/>
                <w:u w:val="single"/>
              </w:rPr>
            </w:pPr>
            <w:r>
              <w:rPr>
                <w:rFonts w:ascii="Times New Roman" w:hAnsi="Times New Roman"/>
                <w:sz w:val="20"/>
                <w:u w:val="single"/>
              </w:rPr>
              <w:t>Title of class</w:t>
            </w:r>
          </w:p>
        </w:tc>
        <w:tc>
          <w:tcPr>
            <w:tcW w:w="1340" w:type="dxa"/>
            <w:tcBorders/>
            <w:vAlign w:val="center"/>
          </w:tcPr>
          <w:p>
            <w:pPr>
              <w:pStyle w:val="TableContents"/>
              <w:bidi w:val="0"/>
              <w:spacing w:before="0" w:after="0"/>
              <w:jc w:val="center"/>
              <w:rPr>
                <w:rFonts w:ascii="Times New Roman" w:hAnsi="Times New Roman"/>
                <w:sz w:val="20"/>
                <w:u w:val="single"/>
              </w:rPr>
            </w:pPr>
            <w:r>
              <w:rPr>
                <w:rFonts w:ascii="Times New Roman" w:hAnsi="Times New Roman"/>
                <w:sz w:val="20"/>
                <w:u w:val="single"/>
              </w:rPr>
              <w:t>Trading Symbol</w:t>
            </w:r>
          </w:p>
        </w:tc>
        <w:tc>
          <w:tcPr>
            <w:tcW w:w="3155" w:type="dxa"/>
            <w:tcBorders/>
            <w:vAlign w:val="center"/>
          </w:tcPr>
          <w:p>
            <w:pPr>
              <w:pStyle w:val="TableContents"/>
              <w:bidi w:val="0"/>
              <w:spacing w:before="0" w:after="0"/>
              <w:jc w:val="center"/>
              <w:rPr>
                <w:rFonts w:ascii="Times New Roman" w:hAnsi="Times New Roman"/>
                <w:sz w:val="20"/>
                <w:u w:val="single"/>
              </w:rPr>
            </w:pPr>
            <w:r>
              <w:rPr>
                <w:rFonts w:ascii="Times New Roman" w:hAnsi="Times New Roman"/>
                <w:sz w:val="20"/>
                <w:u w:val="single"/>
              </w:rPr>
              <w:t>Name of exchange on which registered</w:t>
            </w:r>
          </w:p>
        </w:tc>
      </w:tr>
      <w:tr>
        <w:trPr/>
        <w:tc>
          <w:tcPr>
            <w:tcW w:w="339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par value $0.01 per share</w:t>
            </w:r>
          </w:p>
        </w:tc>
        <w:tc>
          <w:tcPr>
            <w:tcW w:w="134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NBTB</w:t>
            </w:r>
          </w:p>
        </w:tc>
        <w:tc>
          <w:tcPr>
            <w:tcW w:w="31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both"/>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tbl>
      <w:tblPr>
        <w:tblW w:w="4765" w:type="dxa"/>
        <w:jc w:val="left"/>
        <w:tblInd w:w="0" w:type="dxa"/>
        <w:tblLayout w:type="fixed"/>
        <w:tblCellMar>
          <w:top w:w="0" w:type="dxa"/>
          <w:left w:w="0" w:type="dxa"/>
          <w:bottom w:w="0" w:type="dxa"/>
          <w:right w:w="0" w:type="dxa"/>
        </w:tblCellMar>
      </w:tblPr>
      <w:tblGrid>
        <w:gridCol w:w="830"/>
        <w:gridCol w:w="3935"/>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2.02</w:t>
            </w:r>
          </w:p>
        </w:tc>
        <w:tc>
          <w:tcPr>
            <w:tcW w:w="39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Results of Operations and Financial Condition</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pPr>
            <w:r>
              <w:rPr/>
            </w:r>
          </w:p>
        </w:tc>
        <w:tc>
          <w:tcPr>
            <w:tcW w:w="10167" w:type="dxa"/>
            <w:tcBorders/>
            <w:vAlign w:val="center"/>
          </w:tcPr>
          <w:p>
            <w:pPr>
              <w:pStyle w:val="TableContents"/>
              <w:bidi w:val="0"/>
              <w:spacing w:before="0" w:after="0"/>
              <w:jc w:val="left"/>
              <w:rPr/>
            </w:pPr>
            <w:r>
              <w:rPr/>
              <w:t xml:space="preserve">On July 27, 2026, NBT Bancorp Inc. (the “Company”) issued a press release describing its results of operations for the quarter ended June 30, 2026. That press release is furnished as Exhibit 99.1 hereto. A conference call will be held at 10:00 a.m. Eastern Time on Tuesday, July 28, 2026, to review the second quarter 2026 financial results. The audio webcast link, along with the corresponding presentation slides, will be available on the Event Calendar page of the Company’s website at </w:t>
            </w:r>
            <w:r>
              <w:rPr>
                <w:u w:val="single"/>
              </w:rPr>
              <w:t>www.nbtbancorp.com</w:t>
            </w:r>
            <w:r>
              <w:rPr/>
              <w:t>.</w:t>
            </w:r>
          </w:p>
        </w:tc>
      </w:tr>
    </w:tbl>
    <w:p>
      <w:pPr>
        <w:pStyle w:val="TextBody"/>
        <w:bidi w:val="0"/>
        <w:spacing w:before="0" w:after="0"/>
        <w:ind w:left="0" w:right="0" w:firstLine="540"/>
        <w:jc w:val="both"/>
        <w:rPr>
          <w:rFonts w:ascii="Times New Roman" w:hAnsi="Times New Roman"/>
          <w:sz w:val="20"/>
        </w:rPr>
      </w:pPr>
      <w:r>
        <w:rPr>
          <w:rFonts w:ascii="Times New Roman" w:hAnsi="Times New Roman"/>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tbl>
      <w:tblPr>
        <w:tblW w:w="1525" w:type="dxa"/>
        <w:jc w:val="left"/>
        <w:tblInd w:w="0" w:type="dxa"/>
        <w:tblLayout w:type="fixed"/>
        <w:tblCellMar>
          <w:top w:w="0" w:type="dxa"/>
          <w:left w:w="0" w:type="dxa"/>
          <w:bottom w:w="0" w:type="dxa"/>
          <w:right w:w="0" w:type="dxa"/>
        </w:tblCellMar>
      </w:tblPr>
      <w:tblGrid>
        <w:gridCol w:w="245"/>
        <w:gridCol w:w="1280"/>
      </w:tblGrid>
      <w:tr>
        <w:trPr/>
        <w:tc>
          <w:tcPr>
            <w:tcW w:w="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w:t>
            </w:r>
          </w:p>
        </w:tc>
        <w:tc>
          <w:tcPr>
            <w:tcW w:w="1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 applicable.</w:t>
            </w:r>
          </w:p>
        </w:tc>
      </w:tr>
    </w:tbl>
    <w:p>
      <w:pPr>
        <w:pStyle w:val="TextBody"/>
        <w:bidi w:val="0"/>
        <w:spacing w:before="0" w:after="0"/>
        <w:jc w:val="left"/>
        <w:rPr>
          <w:color w:val="000000"/>
          <w:shd w:fill="FFFFFF" w:val="clear"/>
        </w:rPr>
      </w:pPr>
      <w:r>
        <w:rPr>
          <w:color w:val="000000"/>
          <w:shd w:fill="FFFFFF" w:val="clear"/>
        </w:rPr>
        <w:t> </w:t>
      </w:r>
    </w:p>
    <w:tbl>
      <w:tblPr>
        <w:tblW w:w="1540" w:type="dxa"/>
        <w:jc w:val="left"/>
        <w:tblInd w:w="0" w:type="dxa"/>
        <w:tblLayout w:type="fixed"/>
        <w:tblCellMar>
          <w:top w:w="0" w:type="dxa"/>
          <w:left w:w="0" w:type="dxa"/>
          <w:bottom w:w="0" w:type="dxa"/>
          <w:right w:w="0" w:type="dxa"/>
        </w:tblCellMar>
      </w:tblPr>
      <w:tblGrid>
        <w:gridCol w:w="260"/>
        <w:gridCol w:w="1280"/>
      </w:tblGrid>
      <w:tr>
        <w:trPr/>
        <w:tc>
          <w:tcPr>
            <w:tcW w:w="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 applicable.</w:t>
            </w:r>
          </w:p>
        </w:tc>
      </w:tr>
    </w:tbl>
    <w:p>
      <w:pPr>
        <w:pStyle w:val="TextBody"/>
        <w:bidi w:val="0"/>
        <w:spacing w:before="0" w:after="0"/>
        <w:jc w:val="left"/>
        <w:rPr>
          <w:color w:val="000000"/>
          <w:shd w:fill="FFFFFF" w:val="clear"/>
        </w:rPr>
      </w:pPr>
      <w:r>
        <w:rPr>
          <w:color w:val="000000"/>
          <w:shd w:fill="FFFFFF" w:val="clear"/>
        </w:rPr>
        <w:t> </w:t>
      </w:r>
    </w:p>
    <w:tbl>
      <w:tblPr>
        <w:tblW w:w="1525" w:type="dxa"/>
        <w:jc w:val="left"/>
        <w:tblInd w:w="0" w:type="dxa"/>
        <w:tblLayout w:type="fixed"/>
        <w:tblCellMar>
          <w:top w:w="0" w:type="dxa"/>
          <w:left w:w="0" w:type="dxa"/>
          <w:bottom w:w="0" w:type="dxa"/>
          <w:right w:w="0" w:type="dxa"/>
        </w:tblCellMar>
      </w:tblPr>
      <w:tblGrid>
        <w:gridCol w:w="245"/>
        <w:gridCol w:w="1280"/>
      </w:tblGrid>
      <w:tr>
        <w:trPr/>
        <w:tc>
          <w:tcPr>
            <w:tcW w:w="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w:t>
            </w:r>
          </w:p>
        </w:tc>
        <w:tc>
          <w:tcPr>
            <w:tcW w:w="1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 applicable.</w:t>
            </w:r>
          </w:p>
        </w:tc>
      </w:tr>
    </w:tbl>
    <w:p>
      <w:pPr>
        <w:pStyle w:val="TextBody"/>
        <w:bidi w:val="0"/>
        <w:spacing w:before="0" w:after="0"/>
        <w:jc w:val="left"/>
        <w:rPr>
          <w:color w:val="000000"/>
          <w:shd w:fill="FFFFFF" w:val="clear"/>
        </w:rPr>
      </w:pPr>
      <w:r>
        <w:rPr>
          <w:color w:val="000000"/>
          <w:shd w:fill="FFFFFF" w:val="clear"/>
        </w:rPr>
        <w:t> </w:t>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Exhibits.</w:t>
            </w:r>
          </w:p>
        </w:tc>
      </w:tr>
    </w:tbl>
    <w:p>
      <w:pPr>
        <w:pStyle w:val="TextBody"/>
        <w:bidi w:val="0"/>
        <w:spacing w:before="0" w:after="0"/>
        <w:jc w:val="left"/>
        <w:rPr>
          <w:color w:val="000000"/>
          <w:shd w:fill="FFFFFF" w:val="clear"/>
        </w:rPr>
      </w:pPr>
      <w:r>
        <w:rPr>
          <w:color w:val="000000"/>
          <w:shd w:fill="FFFFFF" w:val="clear"/>
        </w:rPr>
        <w:t> </w:t>
      </w:r>
    </w:p>
    <w:tbl>
      <w:tblPr>
        <w:tblW w:w="7510" w:type="dxa"/>
        <w:jc w:val="left"/>
        <w:tblInd w:w="0" w:type="dxa"/>
        <w:tblLayout w:type="fixed"/>
        <w:tblCellMar>
          <w:top w:w="0" w:type="dxa"/>
          <w:left w:w="0" w:type="dxa"/>
          <w:bottom w:w="28" w:type="dxa"/>
          <w:right w:w="0" w:type="dxa"/>
        </w:tblCellMar>
      </w:tblPr>
      <w:tblGrid>
        <w:gridCol w:w="980"/>
        <w:gridCol w:w="60"/>
        <w:gridCol w:w="6470"/>
      </w:tblGrid>
      <w:tr>
        <w:trPr/>
        <w:tc>
          <w:tcPr>
            <w:tcW w:w="980" w:type="dxa"/>
            <w:tcBorders>
              <w:bottom w:val="single" w:sz="12"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70" w:type="dxa"/>
            <w:tcBorders>
              <w:bottom w:val="single" w:sz="12"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Description</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jc w:val="left"/>
              <w:rPr/>
            </w:pPr>
            <w:hyperlink w:anchor="ef20078819_ex99-1.htm">
              <w:r>
                <w:rPr>
                  <w:rStyle w:val="InternetLink"/>
                  <w:rFonts w:ascii="Times New Roman" w:hAnsi="Times New Roman"/>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Press release of NBT Bancorp Inc. July 27, 2026</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6240" w:type="dxa"/>
        <w:jc w:val="left"/>
        <w:tblInd w:w="0" w:type="dxa"/>
        <w:tblLayout w:type="fixed"/>
        <w:tblCellMar>
          <w:top w:w="0" w:type="dxa"/>
          <w:left w:w="0" w:type="dxa"/>
          <w:bottom w:w="0" w:type="dxa"/>
          <w:right w:w="0" w:type="dxa"/>
        </w:tblCellMar>
      </w:tblPr>
      <w:tblGrid>
        <w:gridCol w:w="1610"/>
        <w:gridCol w:w="320"/>
        <w:gridCol w:w="4310"/>
      </w:tblGrid>
      <w:tr>
        <w:trPr/>
        <w:tc>
          <w:tcPr>
            <w:tcW w:w="1610" w:type="dxa"/>
            <w:tcBorders/>
            <w:vAlign w:val="center"/>
          </w:tcPr>
          <w:p>
            <w:pPr>
              <w:pStyle w:val="TableContents"/>
              <w:bidi w:val="0"/>
              <w:spacing w:before="0" w:after="283"/>
              <w:jc w:val="left"/>
              <w:rPr/>
            </w:pPr>
            <w:r>
              <w:rPr/>
              <w:t> </w:t>
            </w:r>
          </w:p>
        </w:tc>
        <w:tc>
          <w:tcPr>
            <w:tcW w:w="4630"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NBT BANCORP INC.</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July 27, 2026</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431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/s/ Annette L. Burns</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Annette L. Burns</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and Chief Financial Officer</w:t>
            </w:r>
          </w:p>
        </w:tc>
      </w:tr>
    </w:tbl>
    <w:p>
      <w:pPr>
        <w:pStyle w:val="TextBody"/>
        <w:bidi w:val="0"/>
        <w:spacing w:before="0" w:after="0"/>
        <w:jc w:val="right"/>
        <w:rPr>
          <w:sz w:val="20"/>
        </w:rPr>
      </w:pPr>
      <w:r>
        <w:rPr>
          <w:sz w:val="20"/>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0" w:name="ef20078819_ex99-1.htm"/>
      <w:bookmarkStart w:id="1" w:name="ksef20078819_ex991"/>
      <w:bookmarkStart w:id="2" w:name="ef20078819_ex99-1.htm"/>
      <w:bookmarkStart w:id="3" w:name="ksef20078819_ex991"/>
      <w:bookmarkEnd w:id="2"/>
      <w:bookmarkEnd w:id="3"/>
      <w:r>
        <w:br w:type="page"/>
      </w:r>
    </w:p>
    <w:p>
      <w:pPr>
        <w:pStyle w:val="TextBody"/>
        <w:bidi w:val="0"/>
        <w:spacing w:before="0" w:after="0"/>
        <w:jc w:val="right"/>
        <w:rPr>
          <w:rFonts w:ascii="Times New Roman" w:hAnsi="Times New Roman"/>
          <w:color w:val="000000"/>
          <w:sz w:val="20"/>
        </w:rPr>
      </w:pPr>
      <w:r>
        <w:rPr>
          <w:rFonts w:ascii="Times New Roman" w:hAnsi="Times New Roman"/>
          <w:b/>
          <w:color w:val="000000"/>
          <w:sz w:val="20"/>
        </w:rPr>
        <w:t>Exhibit 99.1</w:t>
      </w:r>
      <w:r>
        <w:rPr>
          <w:rFonts w:ascii="Times New Roman" w:hAnsi="Times New Roman"/>
          <w:color w:val="000000"/>
          <w:sz w:val="20"/>
        </w:rPr>
        <w:t xml:space="preserve"> </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 w:name="z496471f264df49349b2af5b116b5fab5"/>
      <w:bookmarkStart w:id="5" w:name="z496471f264df49349b2af5b116b5fab5"/>
      <w:bookmarkEnd w:id="5"/>
    </w:p>
    <w:tbl>
      <w:tblPr>
        <w:tblW w:w="5050" w:type="dxa"/>
        <w:jc w:val="left"/>
        <w:tblInd w:w="0" w:type="dxa"/>
        <w:tblLayout w:type="fixed"/>
        <w:tblCellMar>
          <w:top w:w="0" w:type="dxa"/>
          <w:left w:w="0" w:type="dxa"/>
          <w:bottom w:w="28" w:type="dxa"/>
          <w:right w:w="0" w:type="dxa"/>
        </w:tblCellMar>
      </w:tblPr>
      <w:tblGrid>
        <w:gridCol w:w="740"/>
        <w:gridCol w:w="4310"/>
      </w:tblGrid>
      <w:tr>
        <w:trPr/>
        <w:tc>
          <w:tcPr>
            <w:tcW w:w="5050" w:type="dxa"/>
            <w:gridSpan w:val="2"/>
            <w:tcBorders>
              <w:bottom w:val="single" w:sz="12" w:space="0" w:color="000000"/>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FOR IMMEDIATE RELEASE</w:t>
            </w:r>
          </w:p>
          <w:p>
            <w:pPr>
              <w:pStyle w:val="TableContents"/>
              <w:bidi w:val="0"/>
              <w:spacing w:before="0" w:after="0"/>
              <w:jc w:val="both"/>
              <w:rPr>
                <w:rFonts w:ascii="Times New Roman" w:hAnsi="Times New Roman"/>
                <w:b/>
                <w:sz w:val="20"/>
              </w:rPr>
            </w:pPr>
            <w:r>
              <w:rPr>
                <w:rFonts w:ascii="Times New Roman" w:hAnsi="Times New Roman"/>
                <w:b/>
                <w:sz w:val="20"/>
              </w:rPr>
              <w:t>ATTENTION: FINANCIAL AND BUSINESS EDITORS</w:t>
            </w:r>
          </w:p>
        </w:tc>
      </w:tr>
      <w:tr>
        <w:trPr/>
        <w:tc>
          <w:tcPr>
            <w:tcW w:w="5050" w:type="dxa"/>
            <w:gridSpan w:val="2"/>
            <w:tcBorders/>
            <w:tcMar>
              <w:bottom w:w="0" w:type="dxa"/>
            </w:tcMar>
            <w:vAlign w:val="center"/>
          </w:tcPr>
          <w:p>
            <w:pPr>
              <w:pStyle w:val="TableContents"/>
              <w:bidi w:val="0"/>
              <w:spacing w:before="0" w:after="283"/>
              <w:jc w:val="left"/>
              <w:rPr/>
            </w:pPr>
            <w:r>
              <w:rPr/>
              <w:t>  </w:t>
            </w:r>
          </w:p>
        </w:tc>
      </w:tr>
      <w:tr>
        <w:trPr/>
        <w:tc>
          <w:tcPr>
            <w:tcW w:w="740" w:type="dxa"/>
            <w:tcBorders/>
            <w:tcMar>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Contact:</w:t>
            </w:r>
          </w:p>
        </w:tc>
        <w:tc>
          <w:tcPr>
            <w:tcW w:w="4310" w:type="dxa"/>
            <w:tcBorders/>
            <w:tcMar>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Scott A. Kingsley, President and CEO</w:t>
            </w:r>
          </w:p>
        </w:tc>
      </w:tr>
      <w:tr>
        <w:trPr/>
        <w:tc>
          <w:tcPr>
            <w:tcW w:w="74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Annette L. Burns, Executive Vice President and CFO</w:t>
            </w:r>
          </w:p>
        </w:tc>
      </w:tr>
      <w:tr>
        <w:trPr/>
        <w:tc>
          <w:tcPr>
            <w:tcW w:w="74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NBT Bancorp Inc.</w:t>
            </w:r>
          </w:p>
        </w:tc>
      </w:tr>
      <w:tr>
        <w:trPr/>
        <w:tc>
          <w:tcPr>
            <w:tcW w:w="74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52 South Broad Street</w:t>
            </w:r>
          </w:p>
        </w:tc>
      </w:tr>
      <w:tr>
        <w:trPr/>
        <w:tc>
          <w:tcPr>
            <w:tcW w:w="74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Norwich, NY 13815</w:t>
            </w:r>
          </w:p>
        </w:tc>
      </w:tr>
      <w:tr>
        <w:trPr/>
        <w:tc>
          <w:tcPr>
            <w:tcW w:w="74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607-337-6589</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NBT BANCORP INC. ANNOUNCES SECOND QUARTER 2026 RESULTS AND APPROVES AN 8.1% CASH DIVIDEND INCREASE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NORWICH, NY (July 27, 2026) – NBT Bancorp Inc. (“NBT” or the “Company”) (NASDAQ: NBTB) reported net income and diluted earnings per share for the three and six months ended June 30, 2026.</w:t>
      </w:r>
    </w:p>
    <w:p>
      <w:pPr>
        <w:pStyle w:val="TextBody"/>
        <w:bidi w:val="0"/>
        <w:spacing w:before="0" w:after="0"/>
        <w:jc w:val="left"/>
        <w:rPr>
          <w:color w:val="000000"/>
        </w:rPr>
      </w:pPr>
      <w:r>
        <w:rPr>
          <w:color w:val="000000"/>
        </w:rPr>
        <w:t> </w:t>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Net income for the second quarter of 2026 was $53.0 million, or $1.02 per diluted common share, compared to $22.5 million, or $0.44 per diluted common share, for the second quarter of 2025, and $51.1 million, or $0.98 per diluted common share, for the first quarter of 2026. Operating diluted earnings per share(1), a non-GAAP measure, was $1.01 for the second quarter of 2026, compared to $0.88 for the second quarter of 2025 and $0.97 for the first quarter of 2026.</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completed the acquisition of Evans Bancorp, Inc. (“Evans”) on May 2, 2025, adding 200 employees and 18 banking locations in Western New York, $1.67 billion in loans and $1.86 billion in deposits. In connection with the transaction, the Company issued 5.1 million shares of common stock, with a value of $221.8 million as of the closing date. The comparison to the second quarter of 2025 is significantly impacted by the Evans acquisition.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bookmarkStart w:id="6" w:name="z_Hlk85784768"/>
      <w:bookmarkEnd w:id="6"/>
      <w:r>
        <w:rPr>
          <w:rFonts w:ascii="Times New Roman" w:hAnsi="Times New Roman"/>
          <w:b/>
          <w:color w:val="000000"/>
          <w:sz w:val="20"/>
        </w:rPr>
        <w:t>CEO Comments</w:t>
      </w:r>
    </w:p>
    <w:p>
      <w:pPr>
        <w:pStyle w:val="TextBody"/>
        <w:bidi w:val="0"/>
        <w:spacing w:before="0" w:after="0"/>
        <w:jc w:val="left"/>
        <w:rPr>
          <w:sz w:val="20"/>
        </w:rPr>
      </w:pPr>
      <w:r>
        <w:rPr>
          <w:sz w:val="20"/>
        </w:rPr>
      </w:r>
    </w:p>
    <w:p>
      <w:pPr>
        <w:pStyle w:val="TextBody"/>
        <w:bidi w:val="0"/>
        <w:spacing w:before="0" w:after="0"/>
        <w:jc w:val="both"/>
        <w:rPr>
          <w:color w:val="000000"/>
        </w:rPr>
      </w:pPr>
      <w:bookmarkStart w:id="7" w:name="z_Hlk195707883"/>
      <w:bookmarkEnd w:id="7"/>
      <w:r>
        <w:rPr>
          <w:color w:val="000000"/>
        </w:rPr>
        <w:t>“</w:t>
      </w:r>
      <w:r>
        <w:rPr>
          <w:rFonts w:ascii="Times New Roman" w:hAnsi="Times New Roman"/>
          <w:color w:val="000000"/>
          <w:sz w:val="20"/>
        </w:rPr>
        <w:t>The second quarter demonstrated the strength and momentum of NBT’s diversified banking franchise,” said NBT President and CEO Scott Kingsley. “We generated significantly stronger earnings than the prior year quarter, grew loans across every business line and expanded our net interest margin to 3.73%, an increase of 14 basis points from one year ago. These results reflect the trust our customers place in us, the dedication of our employees and our disciplined approach to building long-term relationships and sustainable growth. With strong balance sheet fundamentals, healthy loan growth and continued momentum across our franchise, we are well positioned as we enter the second half of 2026.”</w:t>
      </w:r>
    </w:p>
    <w:p>
      <w:pPr>
        <w:pStyle w:val="TextBody"/>
        <w:bidi w:val="0"/>
        <w:spacing w:before="0" w:after="0"/>
        <w:jc w:val="left"/>
        <w:rPr>
          <w:sz w:val="20"/>
        </w:rPr>
      </w:pPr>
      <w:r>
        <w:rPr>
          <w:sz w:val="20"/>
        </w:rPr>
      </w:r>
    </w:p>
    <w:p>
      <w:pPr>
        <w:pStyle w:val="TextBody"/>
        <w:bidi w:val="0"/>
        <w:spacing w:before="0" w:after="0"/>
        <w:jc w:val="both"/>
        <w:rPr>
          <w:color w:val="000000"/>
        </w:rPr>
      </w:pPr>
      <w:r>
        <w:rPr>
          <w:color w:val="000000"/>
        </w:rPr>
        <w:t>“</w:t>
      </w:r>
      <w:r>
        <w:rPr>
          <w:rFonts w:ascii="Times New Roman" w:hAnsi="Times New Roman"/>
          <w:color w:val="000000"/>
          <w:sz w:val="20"/>
        </w:rPr>
        <w:t>We are also pleased to announce that we have increased our quarterly cash dividend for the fourteenth consecutive year to $0.40 per share in the third quarter,” added Kingsley. “This increase in the quarterly cash dividend of 8.1% affirms our continued commitment to providing favorable long-term returns to our shareholders.”</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Second Quarter 2026 Financial Highlights</w:t>
      </w:r>
    </w:p>
    <w:p>
      <w:pPr>
        <w:pStyle w:val="TextBody"/>
        <w:bidi w:val="0"/>
        <w:spacing w:before="0" w:after="0"/>
        <w:jc w:val="left"/>
        <w:rPr>
          <w:sz w:val="20"/>
        </w:rPr>
      </w:pPr>
      <w:r>
        <w:rPr>
          <w:sz w:val="20"/>
        </w:rPr>
      </w:r>
    </w:p>
    <w:tbl>
      <w:tblPr>
        <w:tblW w:w="10205" w:type="dxa"/>
        <w:jc w:val="left"/>
        <w:tblInd w:w="-15" w:type="dxa"/>
        <w:tblLayout w:type="fixed"/>
        <w:tblCellMar>
          <w:top w:w="28" w:type="dxa"/>
          <w:left w:w="28" w:type="dxa"/>
          <w:bottom w:w="0" w:type="dxa"/>
          <w:right w:w="0" w:type="dxa"/>
        </w:tblCellMar>
      </w:tblPr>
      <w:tblGrid>
        <w:gridCol w:w="1561"/>
        <w:gridCol w:w="223"/>
        <w:gridCol w:w="8421"/>
      </w:tblGrid>
      <w:tr>
        <w:trPr/>
        <w:tc>
          <w:tcPr>
            <w:tcW w:w="1561" w:type="dxa"/>
            <w:tcBorders>
              <w:top w:val="single" w:sz="12" w:space="0" w:color="000000"/>
              <w:left w:val="single" w:sz="12" w:space="0" w:color="000000"/>
            </w:tcBorders>
            <w:vAlign w:val="center"/>
          </w:tcPr>
          <w:p>
            <w:pPr>
              <w:pStyle w:val="TableContents"/>
              <w:bidi w:val="0"/>
              <w:spacing w:before="0" w:after="283"/>
              <w:jc w:val="center"/>
              <w:rPr>
                <w:sz w:val="20"/>
              </w:rPr>
            </w:pPr>
            <w:r>
              <w:rPr>
                <w:sz w:val="20"/>
              </w:rPr>
              <w:t>Net Income</w:t>
            </w:r>
          </w:p>
        </w:tc>
        <w:tc>
          <w:tcPr>
            <w:tcW w:w="223" w:type="dxa"/>
            <w:tcBorders>
              <w:top w:val="single" w:sz="12" w:space="0" w:color="000000"/>
              <w:left w:val="single" w:sz="12" w:space="0" w:color="000000"/>
            </w:tcBorders>
            <w:vAlign w:val="center"/>
          </w:tcPr>
          <w:p>
            <w:pPr>
              <w:pStyle w:val="TableContents"/>
              <w:bidi w:val="0"/>
              <w:spacing w:before="0" w:after="283"/>
              <w:jc w:val="center"/>
              <w:rPr/>
            </w:pPr>
            <w:r>
              <w:rPr/>
              <w:t>■</w:t>
            </w:r>
          </w:p>
        </w:tc>
        <w:tc>
          <w:tcPr>
            <w:tcW w:w="8421" w:type="dxa"/>
            <w:tcBorders>
              <w:top w:val="single" w:sz="12" w:space="0" w:color="000000"/>
              <w:right w:val="single" w:sz="12" w:space="0" w:color="000000"/>
            </w:tcBorders>
            <w:tcMar>
              <w:left w:w="0" w:type="dxa"/>
              <w:right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Net income was $53.0 million and diluted earnings per share was $1.02</w:t>
            </w:r>
          </w:p>
        </w:tc>
      </w:tr>
      <w:tr>
        <w:trPr/>
        <w:tc>
          <w:tcPr>
            <w:tcW w:w="1561" w:type="dxa"/>
            <w:tcBorders>
              <w:left w:val="single" w:sz="12" w:space="0" w:color="000000"/>
            </w:tcBorders>
            <w:tcMar>
              <w:top w:w="0" w:type="dxa"/>
            </w:tcMar>
            <w:vAlign w:val="center"/>
          </w:tcPr>
          <w:p>
            <w:pPr>
              <w:pStyle w:val="TableContents"/>
              <w:bidi w:val="0"/>
              <w:spacing w:before="0" w:after="283"/>
              <w:jc w:val="left"/>
              <w:rPr>
                <w:sz w:val="20"/>
              </w:rPr>
            </w:pPr>
            <w:r>
              <w:rPr>
                <w:sz w:val="20"/>
              </w:rPr>
            </w:r>
          </w:p>
        </w:tc>
        <w:tc>
          <w:tcPr>
            <w:tcW w:w="223" w:type="dxa"/>
            <w:tcBorders>
              <w:left w:val="single" w:sz="12" w:space="0" w:color="000000"/>
            </w:tcBorders>
            <w:tcMar>
              <w:top w:w="0" w:type="dxa"/>
            </w:tcMar>
            <w:vAlign w:val="center"/>
          </w:tcPr>
          <w:p>
            <w:pPr>
              <w:pStyle w:val="TableContents"/>
              <w:bidi w:val="0"/>
              <w:spacing w:before="0" w:after="283"/>
              <w:jc w:val="center"/>
              <w:rPr/>
            </w:pPr>
            <w:r>
              <w:rPr/>
              <w:t>■</w:t>
            </w:r>
          </w:p>
        </w:tc>
        <w:tc>
          <w:tcPr>
            <w:tcW w:w="8421" w:type="dxa"/>
            <w:tcBorders>
              <w:right w:val="single" w:sz="12" w:space="0" w:color="000000"/>
            </w:tcBorders>
            <w:tcMar>
              <w:top w:w="0" w:type="dxa"/>
              <w:left w:w="0" w:type="dxa"/>
              <w:right w:w="28" w:type="dxa"/>
            </w:tcMar>
            <w:vAlign w:val="center"/>
          </w:tcPr>
          <w:p>
            <w:pPr>
              <w:pStyle w:val="TableContents"/>
              <w:bidi w:val="0"/>
              <w:spacing w:lineRule="auto" w:line="240" w:before="0" w:after="283"/>
              <w:jc w:val="left"/>
              <w:rPr>
                <w:rFonts w:ascii="Times New Roman" w:hAnsi="Times New Roman"/>
                <w:sz w:val="20"/>
              </w:rPr>
            </w:pPr>
            <w:r>
              <w:rPr>
                <w:rFonts w:ascii="Times New Roman" w:hAnsi="Times New Roman"/>
                <w:sz w:val="20"/>
              </w:rPr>
              <w:t>Operating net income was $52.9 million and operating diluted earnings per share was $1.01(1)</w:t>
            </w:r>
          </w:p>
        </w:tc>
      </w:tr>
      <w:tr>
        <w:trPr/>
        <w:tc>
          <w:tcPr>
            <w:tcW w:w="1561" w:type="dxa"/>
            <w:vMerge w:val="restart"/>
            <w:tcBorders>
              <w:top w:val="single" w:sz="12" w:space="0" w:color="000000"/>
              <w:lef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 xml:space="preserve">Net Interest Income </w:t>
            </w:r>
          </w:p>
          <w:p>
            <w:pPr>
              <w:pStyle w:val="TableContents"/>
              <w:bidi w:val="0"/>
              <w:spacing w:before="0" w:after="0"/>
              <w:jc w:val="center"/>
              <w:rPr>
                <w:rFonts w:ascii="Times New Roman" w:hAnsi="Times New Roman"/>
                <w:sz w:val="20"/>
              </w:rPr>
            </w:pPr>
            <w:r>
              <w:rPr>
                <w:rFonts w:ascii="Times New Roman" w:hAnsi="Times New Roman"/>
                <w:sz w:val="20"/>
              </w:rPr>
              <w:t>/ NIM</w:t>
            </w:r>
          </w:p>
        </w:tc>
        <w:tc>
          <w:tcPr>
            <w:tcW w:w="223" w:type="dxa"/>
            <w:tcBorders>
              <w:top w:val="single" w:sz="12" w:space="0" w:color="000000"/>
              <w:left w:val="single" w:sz="12" w:space="0" w:color="000000"/>
            </w:tcBorders>
            <w:vAlign w:val="center"/>
          </w:tcPr>
          <w:p>
            <w:pPr>
              <w:pStyle w:val="TableContents"/>
              <w:bidi w:val="0"/>
              <w:spacing w:before="0" w:after="283"/>
              <w:jc w:val="center"/>
              <w:rPr/>
            </w:pPr>
            <w:r>
              <w:rPr/>
              <w:t>■</w:t>
            </w:r>
          </w:p>
        </w:tc>
        <w:tc>
          <w:tcPr>
            <w:tcW w:w="8421" w:type="dxa"/>
            <w:tcBorders>
              <w:top w:val="single" w:sz="12" w:space="0" w:color="000000"/>
              <w:right w:val="single" w:sz="12" w:space="0" w:color="000000"/>
            </w:tcBorders>
            <w:tcMar>
              <w:left w:w="0" w:type="dxa"/>
              <w:right w:w="28" w:type="dxa"/>
            </w:tcMar>
            <w:vAlign w:val="center"/>
          </w:tcPr>
          <w:p>
            <w:pPr>
              <w:pStyle w:val="TableContents"/>
              <w:bidi w:val="0"/>
              <w:spacing w:lineRule="auto" w:line="240" w:before="0" w:after="283"/>
              <w:jc w:val="left"/>
              <w:rPr>
                <w:rFonts w:ascii="Times New Roman" w:hAnsi="Times New Roman"/>
                <w:sz w:val="20"/>
              </w:rPr>
            </w:pPr>
            <w:r>
              <w:rPr>
                <w:rFonts w:ascii="Times New Roman" w:hAnsi="Times New Roman"/>
                <w:sz w:val="20"/>
              </w:rPr>
              <w:t>Net interest income on a fully taxable equivalent (“FTE”) basis was $137.6 million(1)</w:t>
            </w:r>
          </w:p>
        </w:tc>
      </w:tr>
      <w:tr>
        <w:trPr/>
        <w:tc>
          <w:tcPr>
            <w:tcW w:w="1561" w:type="dxa"/>
            <w:vMerge w:val="continue"/>
            <w:tcBorders>
              <w:top w:val="single" w:sz="12" w:space="0" w:color="000000"/>
              <w:left w:val="single" w:sz="12" w:space="0" w:color="000000"/>
            </w:tcBorders>
            <w:vAlign w:val="center"/>
          </w:tcPr>
          <w:p>
            <w:pPr>
              <w:pStyle w:val="Normal"/>
              <w:bidi w:val="0"/>
              <w:jc w:val="left"/>
              <w:rPr/>
            </w:pPr>
            <w:r>
              <w:rPr/>
            </w:r>
          </w:p>
        </w:tc>
        <w:tc>
          <w:tcPr>
            <w:tcW w:w="223" w:type="dxa"/>
            <w:tcBorders>
              <w:left w:val="single" w:sz="12" w:space="0" w:color="000000"/>
            </w:tcBorders>
            <w:tcMar>
              <w:top w:w="0" w:type="dxa"/>
            </w:tcMar>
            <w:vAlign w:val="center"/>
          </w:tcPr>
          <w:p>
            <w:pPr>
              <w:pStyle w:val="TableContents"/>
              <w:bidi w:val="0"/>
              <w:spacing w:before="0" w:after="0"/>
              <w:jc w:val="center"/>
              <w:rPr/>
            </w:pPr>
            <w:r>
              <w:rPr/>
              <w:t>■</w:t>
            </w:r>
          </w:p>
        </w:tc>
        <w:tc>
          <w:tcPr>
            <w:tcW w:w="8421" w:type="dxa"/>
            <w:tcBorders>
              <w:right w:val="single" w:sz="12" w:space="0" w:color="000000"/>
            </w:tcBorders>
            <w:tcMar>
              <w:top w:w="0" w:type="dxa"/>
              <w:left w:w="0" w:type="dxa"/>
              <w:right w:w="28" w:type="dxa"/>
            </w:tcMar>
            <w:vAlign w:val="center"/>
          </w:tcPr>
          <w:p>
            <w:pPr>
              <w:pStyle w:val="TableContents"/>
              <w:bidi w:val="0"/>
              <w:spacing w:lineRule="auto" w:line="240" w:before="0" w:after="283"/>
              <w:jc w:val="left"/>
              <w:rPr>
                <w:rFonts w:ascii="Times New Roman" w:hAnsi="Times New Roman"/>
                <w:sz w:val="20"/>
              </w:rPr>
            </w:pPr>
            <w:r>
              <w:rPr>
                <w:rFonts w:ascii="Times New Roman" w:hAnsi="Times New Roman"/>
                <w:sz w:val="20"/>
              </w:rPr>
              <w:t>Net interest margin (“NIM”) on an FTE basis was 3.73%(1), an increase of 1 basis point (“bp”) from the prior quarter</w:t>
            </w:r>
          </w:p>
        </w:tc>
      </w:tr>
      <w:tr>
        <w:trPr/>
        <w:tc>
          <w:tcPr>
            <w:tcW w:w="1561" w:type="dxa"/>
            <w:tcBorders>
              <w:left w:val="single" w:sz="12" w:space="0" w:color="000000"/>
            </w:tcBorders>
            <w:tcMar>
              <w:top w:w="0" w:type="dxa"/>
            </w:tcMar>
            <w:vAlign w:val="center"/>
          </w:tcPr>
          <w:p>
            <w:pPr>
              <w:pStyle w:val="TableContents"/>
              <w:bidi w:val="0"/>
              <w:spacing w:before="0" w:after="283"/>
              <w:jc w:val="left"/>
              <w:rPr/>
            </w:pPr>
            <w:r>
              <w:rPr/>
              <w:t> </w:t>
            </w:r>
          </w:p>
        </w:tc>
        <w:tc>
          <w:tcPr>
            <w:tcW w:w="223" w:type="dxa"/>
            <w:tcBorders>
              <w:left w:val="single" w:sz="12" w:space="0" w:color="000000"/>
            </w:tcBorders>
            <w:tcMar>
              <w:top w:w="0" w:type="dxa"/>
            </w:tcMar>
            <w:vAlign w:val="center"/>
          </w:tcPr>
          <w:p>
            <w:pPr>
              <w:pStyle w:val="TableContents"/>
              <w:bidi w:val="0"/>
              <w:spacing w:before="0" w:after="0"/>
              <w:jc w:val="center"/>
              <w:rPr/>
            </w:pPr>
            <w:r>
              <w:rPr/>
              <w:t>■</w:t>
            </w:r>
          </w:p>
        </w:tc>
        <w:tc>
          <w:tcPr>
            <w:tcW w:w="8421" w:type="dxa"/>
            <w:tcBorders>
              <w:right w:val="single" w:sz="12" w:space="0" w:color="000000"/>
            </w:tcBorders>
            <w:tcMar>
              <w:top w:w="0" w:type="dxa"/>
              <w:left w:w="0" w:type="dxa"/>
              <w:right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Earning asset yields of 5.05% were down 1 bp from the prior quarter</w:t>
            </w:r>
          </w:p>
        </w:tc>
      </w:tr>
      <w:tr>
        <w:trPr/>
        <w:tc>
          <w:tcPr>
            <w:tcW w:w="1561" w:type="dxa"/>
            <w:tcBorders>
              <w:left w:val="single" w:sz="12" w:space="0" w:color="000000"/>
            </w:tcBorders>
            <w:tcMar>
              <w:top w:w="0" w:type="dxa"/>
            </w:tcMar>
            <w:vAlign w:val="center"/>
          </w:tcPr>
          <w:p>
            <w:pPr>
              <w:pStyle w:val="TableContents"/>
              <w:bidi w:val="0"/>
              <w:spacing w:before="0" w:after="283"/>
              <w:jc w:val="left"/>
              <w:rPr/>
            </w:pPr>
            <w:r>
              <w:rPr/>
              <w:t> </w:t>
            </w:r>
          </w:p>
        </w:tc>
        <w:tc>
          <w:tcPr>
            <w:tcW w:w="223" w:type="dxa"/>
            <w:tcBorders>
              <w:left w:val="single" w:sz="12" w:space="0" w:color="000000"/>
            </w:tcBorders>
            <w:tcMar>
              <w:top w:w="0" w:type="dxa"/>
            </w:tcMar>
            <w:vAlign w:val="center"/>
          </w:tcPr>
          <w:p>
            <w:pPr>
              <w:pStyle w:val="TableContents"/>
              <w:bidi w:val="0"/>
              <w:spacing w:before="0" w:after="0"/>
              <w:jc w:val="center"/>
              <w:rPr/>
            </w:pPr>
            <w:r>
              <w:rPr/>
              <w:t>■</w:t>
            </w:r>
          </w:p>
        </w:tc>
        <w:tc>
          <w:tcPr>
            <w:tcW w:w="8421" w:type="dxa"/>
            <w:tcBorders>
              <w:right w:val="single" w:sz="12" w:space="0" w:color="000000"/>
            </w:tcBorders>
            <w:tcMar>
              <w:top w:w="0" w:type="dxa"/>
              <w:left w:w="0" w:type="dxa"/>
              <w:right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Total cost of funds of 1.41% was down 1 bp from the prior quarter</w:t>
            </w:r>
          </w:p>
        </w:tc>
      </w:tr>
      <w:tr>
        <w:trPr/>
        <w:tc>
          <w:tcPr>
            <w:tcW w:w="1561"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Noninterest Income</w:t>
            </w:r>
          </w:p>
        </w:tc>
        <w:tc>
          <w:tcPr>
            <w:tcW w:w="223"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0"/>
              <w:jc w:val="center"/>
              <w:rPr/>
            </w:pPr>
            <w:r>
              <w:rPr/>
              <w:t>■</w:t>
            </w:r>
          </w:p>
        </w:tc>
        <w:tc>
          <w:tcPr>
            <w:tcW w:w="8421" w:type="dxa"/>
            <w:tcBorders>
              <w:top w:val="single" w:sz="12" w:space="0" w:color="000000"/>
              <w:bottom w:val="single" w:sz="12" w:space="0" w:color="000000"/>
              <w:right w:val="single" w:sz="12" w:space="0" w:color="000000"/>
            </w:tcBorders>
            <w:tcMar>
              <w:left w:w="0" w:type="dxa"/>
              <w:bottom w:w="28" w:type="dxa"/>
              <w:right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Noninterest income was $49.6 million, or 27% of total revenues, excluding net securities gains</w:t>
            </w:r>
          </w:p>
        </w:tc>
      </w:tr>
      <w:tr>
        <w:trPr/>
        <w:tc>
          <w:tcPr>
            <w:tcW w:w="1561" w:type="dxa"/>
            <w:vMerge w:val="restart"/>
            <w:tcBorders>
              <w:left w:val="single" w:sz="12" w:space="0" w:color="000000"/>
              <w:bottom w:val="single" w:sz="12" w:space="0" w:color="000000"/>
            </w:tcBorders>
            <w:tcMar>
              <w:top w:w="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Loans and Credit</w:t>
            </w:r>
          </w:p>
          <w:p>
            <w:pPr>
              <w:pStyle w:val="TableContents"/>
              <w:bidi w:val="0"/>
              <w:spacing w:before="0" w:after="0"/>
              <w:jc w:val="center"/>
              <w:rPr>
                <w:rFonts w:ascii="Times New Roman" w:hAnsi="Times New Roman"/>
                <w:sz w:val="20"/>
              </w:rPr>
            </w:pPr>
            <w:r>
              <w:rPr>
                <w:rFonts w:ascii="Times New Roman" w:hAnsi="Times New Roman"/>
                <w:sz w:val="20"/>
              </w:rPr>
              <w:t>Quality</w:t>
            </w:r>
          </w:p>
        </w:tc>
        <w:tc>
          <w:tcPr>
            <w:tcW w:w="223" w:type="dxa"/>
            <w:tcBorders>
              <w:left w:val="single" w:sz="12" w:space="0" w:color="000000"/>
            </w:tcBorders>
            <w:tcMar>
              <w:top w:w="0" w:type="dxa"/>
            </w:tcMar>
            <w:vAlign w:val="center"/>
          </w:tcPr>
          <w:p>
            <w:pPr>
              <w:pStyle w:val="TableContents"/>
              <w:bidi w:val="0"/>
              <w:spacing w:before="0" w:after="0"/>
              <w:jc w:val="center"/>
              <w:rPr/>
            </w:pPr>
            <w:r>
              <w:rPr/>
              <w:t>■</w:t>
            </w:r>
          </w:p>
        </w:tc>
        <w:tc>
          <w:tcPr>
            <w:tcW w:w="8421" w:type="dxa"/>
            <w:tcBorders>
              <w:right w:val="single" w:sz="12" w:space="0" w:color="000000"/>
            </w:tcBorders>
            <w:tcMar>
              <w:top w:w="0" w:type="dxa"/>
              <w:left w:w="0" w:type="dxa"/>
              <w:right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Period end loans were $11.87 billion</w:t>
            </w:r>
          </w:p>
        </w:tc>
      </w:tr>
      <w:tr>
        <w:trPr/>
        <w:tc>
          <w:tcPr>
            <w:tcW w:w="1561" w:type="dxa"/>
            <w:vMerge w:val="continue"/>
            <w:tcBorders>
              <w:left w:val="single" w:sz="12" w:space="0" w:color="000000"/>
              <w:bottom w:val="single" w:sz="12" w:space="0" w:color="000000"/>
            </w:tcBorders>
            <w:tcMar>
              <w:top w:w="0" w:type="dxa"/>
              <w:bottom w:w="28" w:type="dxa"/>
            </w:tcMar>
            <w:vAlign w:val="center"/>
          </w:tcPr>
          <w:p>
            <w:pPr>
              <w:pStyle w:val="Normal"/>
              <w:bidi w:val="0"/>
              <w:jc w:val="left"/>
              <w:rPr/>
            </w:pPr>
            <w:r>
              <w:rPr/>
            </w:r>
          </w:p>
        </w:tc>
        <w:tc>
          <w:tcPr>
            <w:tcW w:w="223" w:type="dxa"/>
            <w:tcBorders>
              <w:left w:val="single" w:sz="12" w:space="0" w:color="000000"/>
            </w:tcBorders>
            <w:tcMar>
              <w:top w:w="0" w:type="dxa"/>
            </w:tcMar>
            <w:vAlign w:val="center"/>
          </w:tcPr>
          <w:p>
            <w:pPr>
              <w:pStyle w:val="TableContents"/>
              <w:bidi w:val="0"/>
              <w:spacing w:before="0" w:after="0"/>
              <w:jc w:val="center"/>
              <w:rPr/>
            </w:pPr>
            <w:r>
              <w:rPr/>
              <w:t>■</w:t>
            </w:r>
          </w:p>
        </w:tc>
        <w:tc>
          <w:tcPr>
            <w:tcW w:w="8421" w:type="dxa"/>
            <w:tcBorders>
              <w:right w:val="single" w:sz="12" w:space="0" w:color="000000"/>
            </w:tcBorders>
            <w:tcMar>
              <w:top w:w="0" w:type="dxa"/>
              <w:left w:w="0" w:type="dxa"/>
              <w:right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Net charge-offs to average loans was 0.15% annualized</w:t>
            </w:r>
          </w:p>
        </w:tc>
      </w:tr>
      <w:tr>
        <w:trPr/>
        <w:tc>
          <w:tcPr>
            <w:tcW w:w="1561" w:type="dxa"/>
            <w:vMerge w:val="continue"/>
            <w:tcBorders>
              <w:left w:val="single" w:sz="12" w:space="0" w:color="000000"/>
              <w:bottom w:val="single" w:sz="12" w:space="0" w:color="000000"/>
            </w:tcBorders>
            <w:tcMar>
              <w:top w:w="0" w:type="dxa"/>
              <w:bottom w:w="28" w:type="dxa"/>
            </w:tcMar>
            <w:vAlign w:val="center"/>
          </w:tcPr>
          <w:p>
            <w:pPr>
              <w:pStyle w:val="Normal"/>
              <w:bidi w:val="0"/>
              <w:jc w:val="left"/>
              <w:rPr/>
            </w:pPr>
            <w:r>
              <w:rPr/>
            </w:r>
          </w:p>
        </w:tc>
        <w:tc>
          <w:tcPr>
            <w:tcW w:w="223" w:type="dxa"/>
            <w:tcBorders>
              <w:left w:val="single" w:sz="12" w:space="0" w:color="000000"/>
            </w:tcBorders>
            <w:tcMar>
              <w:top w:w="0" w:type="dxa"/>
            </w:tcMar>
            <w:vAlign w:val="center"/>
          </w:tcPr>
          <w:p>
            <w:pPr>
              <w:pStyle w:val="TableContents"/>
              <w:bidi w:val="0"/>
              <w:spacing w:before="0" w:after="0"/>
              <w:jc w:val="center"/>
              <w:rPr/>
            </w:pPr>
            <w:r>
              <w:rPr/>
              <w:t>■</w:t>
            </w:r>
          </w:p>
        </w:tc>
        <w:tc>
          <w:tcPr>
            <w:tcW w:w="8421" w:type="dxa"/>
            <w:tcBorders>
              <w:right w:val="single" w:sz="12" w:space="0" w:color="000000"/>
            </w:tcBorders>
            <w:tcMar>
              <w:top w:w="0" w:type="dxa"/>
              <w:left w:w="0" w:type="dxa"/>
              <w:right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Nonperforming loans to total loans was 0.55%</w:t>
            </w:r>
          </w:p>
        </w:tc>
      </w:tr>
      <w:tr>
        <w:trPr/>
        <w:tc>
          <w:tcPr>
            <w:tcW w:w="1561" w:type="dxa"/>
            <w:vMerge w:val="continue"/>
            <w:tcBorders>
              <w:left w:val="single" w:sz="12" w:space="0" w:color="000000"/>
              <w:bottom w:val="single" w:sz="12" w:space="0" w:color="000000"/>
            </w:tcBorders>
            <w:tcMar>
              <w:top w:w="0" w:type="dxa"/>
              <w:bottom w:w="28" w:type="dxa"/>
            </w:tcMar>
            <w:vAlign w:val="center"/>
          </w:tcPr>
          <w:p>
            <w:pPr>
              <w:pStyle w:val="Normal"/>
              <w:bidi w:val="0"/>
              <w:jc w:val="left"/>
              <w:rPr/>
            </w:pPr>
            <w:r>
              <w:rPr/>
            </w:r>
          </w:p>
        </w:tc>
        <w:tc>
          <w:tcPr>
            <w:tcW w:w="223" w:type="dxa"/>
            <w:tcBorders>
              <w:left w:val="single" w:sz="12" w:space="0" w:color="000000"/>
            </w:tcBorders>
            <w:tcMar>
              <w:top w:w="0" w:type="dxa"/>
            </w:tcMar>
            <w:vAlign w:val="center"/>
          </w:tcPr>
          <w:p>
            <w:pPr>
              <w:pStyle w:val="TableContents"/>
              <w:bidi w:val="0"/>
              <w:spacing w:before="0" w:after="0"/>
              <w:jc w:val="center"/>
              <w:rPr/>
            </w:pPr>
            <w:r>
              <w:rPr/>
              <w:t>■</w:t>
            </w:r>
          </w:p>
        </w:tc>
        <w:tc>
          <w:tcPr>
            <w:tcW w:w="8421" w:type="dxa"/>
            <w:tcBorders>
              <w:right w:val="single" w:sz="12" w:space="0" w:color="000000"/>
            </w:tcBorders>
            <w:tcMar>
              <w:top w:w="0" w:type="dxa"/>
              <w:left w:w="0" w:type="dxa"/>
              <w:right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Allowance for loan losses to total loans was 1.18%</w:t>
            </w:r>
          </w:p>
        </w:tc>
      </w:tr>
      <w:tr>
        <w:trPr/>
        <w:tc>
          <w:tcPr>
            <w:tcW w:w="1561" w:type="dxa"/>
            <w:vMerge w:val="continue"/>
            <w:tcBorders>
              <w:left w:val="single" w:sz="12" w:space="0" w:color="000000"/>
              <w:bottom w:val="single" w:sz="12" w:space="0" w:color="000000"/>
            </w:tcBorders>
            <w:tcMar>
              <w:top w:w="0" w:type="dxa"/>
              <w:bottom w:w="28" w:type="dxa"/>
            </w:tcMar>
            <w:vAlign w:val="center"/>
          </w:tcPr>
          <w:p>
            <w:pPr>
              <w:pStyle w:val="Normal"/>
              <w:bidi w:val="0"/>
              <w:jc w:val="left"/>
              <w:rPr/>
            </w:pPr>
            <w:r>
              <w:rPr/>
            </w:r>
          </w:p>
        </w:tc>
        <w:tc>
          <w:tcPr>
            <w:tcW w:w="223" w:type="dxa"/>
            <w:tcBorders>
              <w:left w:val="single" w:sz="12" w:space="0" w:color="000000"/>
              <w:bottom w:val="single" w:sz="12" w:space="0" w:color="000000"/>
            </w:tcBorders>
            <w:tcMar>
              <w:top w:w="0" w:type="dxa"/>
              <w:bottom w:w="28" w:type="dxa"/>
            </w:tcMar>
            <w:vAlign w:val="center"/>
          </w:tcPr>
          <w:p>
            <w:pPr>
              <w:pStyle w:val="TableContents"/>
              <w:bidi w:val="0"/>
              <w:spacing w:before="0" w:after="0"/>
              <w:jc w:val="center"/>
              <w:rPr/>
            </w:pPr>
            <w:r>
              <w:rPr/>
              <w:t>■</w:t>
            </w:r>
          </w:p>
        </w:tc>
        <w:tc>
          <w:tcPr>
            <w:tcW w:w="8421"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Provision for loan losses was $6.1 million</w:t>
            </w:r>
          </w:p>
        </w:tc>
      </w:tr>
      <w:tr>
        <w:trPr/>
        <w:tc>
          <w:tcPr>
            <w:tcW w:w="1561" w:type="dxa"/>
            <w:tcBorders>
              <w:lef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Deposits</w:t>
            </w:r>
          </w:p>
        </w:tc>
        <w:tc>
          <w:tcPr>
            <w:tcW w:w="223" w:type="dxa"/>
            <w:tcBorders>
              <w:left w:val="single" w:sz="12" w:space="0" w:color="000000"/>
            </w:tcBorders>
            <w:tcMar>
              <w:top w:w="0" w:type="dxa"/>
            </w:tcMar>
            <w:vAlign w:val="center"/>
          </w:tcPr>
          <w:p>
            <w:pPr>
              <w:pStyle w:val="TableContents"/>
              <w:bidi w:val="0"/>
              <w:spacing w:before="0" w:after="0"/>
              <w:jc w:val="center"/>
              <w:rPr/>
            </w:pPr>
            <w:r>
              <w:rPr/>
              <w:t>■</w:t>
            </w:r>
          </w:p>
        </w:tc>
        <w:tc>
          <w:tcPr>
            <w:tcW w:w="8421" w:type="dxa"/>
            <w:tcBorders>
              <w:right w:val="single" w:sz="12" w:space="0" w:color="000000"/>
            </w:tcBorders>
            <w:tcMar>
              <w:top w:w="0" w:type="dxa"/>
              <w:left w:w="0" w:type="dxa"/>
              <w:right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Period end deposits were $13.54 billion</w:t>
            </w:r>
          </w:p>
        </w:tc>
      </w:tr>
      <w:tr>
        <w:trPr/>
        <w:tc>
          <w:tcPr>
            <w:tcW w:w="1561"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223" w:type="dxa"/>
            <w:tcBorders>
              <w:left w:val="single" w:sz="12" w:space="0" w:color="000000"/>
              <w:bottom w:val="single" w:sz="12" w:space="0" w:color="000000"/>
            </w:tcBorders>
            <w:tcMar>
              <w:top w:w="0" w:type="dxa"/>
              <w:bottom w:w="28" w:type="dxa"/>
            </w:tcMar>
            <w:vAlign w:val="center"/>
          </w:tcPr>
          <w:p>
            <w:pPr>
              <w:pStyle w:val="TableContents"/>
              <w:bidi w:val="0"/>
              <w:spacing w:before="0" w:after="0"/>
              <w:jc w:val="center"/>
              <w:rPr/>
            </w:pPr>
            <w:r>
              <w:rPr/>
              <w:t>■</w:t>
            </w:r>
          </w:p>
        </w:tc>
        <w:tc>
          <w:tcPr>
            <w:tcW w:w="8421"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Total cost of deposits was 1.33% for the second quarter of 2026, down 1 bp from the first quarter of 2026</w:t>
            </w:r>
          </w:p>
        </w:tc>
      </w:tr>
      <w:tr>
        <w:trPr/>
        <w:tc>
          <w:tcPr>
            <w:tcW w:w="1561" w:type="dxa"/>
            <w:tcBorders>
              <w:lef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Capital</w:t>
            </w:r>
          </w:p>
        </w:tc>
        <w:tc>
          <w:tcPr>
            <w:tcW w:w="223" w:type="dxa"/>
            <w:tcBorders>
              <w:left w:val="single" w:sz="12" w:space="0" w:color="000000"/>
            </w:tcBorders>
            <w:tcMar>
              <w:top w:w="0" w:type="dxa"/>
            </w:tcMar>
            <w:vAlign w:val="center"/>
          </w:tcPr>
          <w:p>
            <w:pPr>
              <w:pStyle w:val="TableContents"/>
              <w:bidi w:val="0"/>
              <w:spacing w:before="0" w:after="0"/>
              <w:jc w:val="center"/>
              <w:rPr/>
            </w:pPr>
            <w:r>
              <w:rPr/>
              <w:t>■</w:t>
            </w:r>
          </w:p>
        </w:tc>
        <w:tc>
          <w:tcPr>
            <w:tcW w:w="8421" w:type="dxa"/>
            <w:tcBorders>
              <w:right w:val="single" w:sz="12" w:space="0" w:color="000000"/>
            </w:tcBorders>
            <w:tcMar>
              <w:top w:w="0" w:type="dxa"/>
              <w:left w:w="0" w:type="dxa"/>
              <w:right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Stockholders’ equity was $1.94 billion as of June 30, 2026</w:t>
            </w:r>
          </w:p>
        </w:tc>
      </w:tr>
      <w:tr>
        <w:trPr/>
        <w:tc>
          <w:tcPr>
            <w:tcW w:w="1561" w:type="dxa"/>
            <w:tcBorders>
              <w:left w:val="single" w:sz="12" w:space="0" w:color="000000"/>
            </w:tcBorders>
            <w:tcMar>
              <w:top w:w="0" w:type="dxa"/>
            </w:tcMar>
            <w:vAlign w:val="center"/>
          </w:tcPr>
          <w:p>
            <w:pPr>
              <w:pStyle w:val="TableContents"/>
              <w:bidi w:val="0"/>
              <w:spacing w:before="0" w:after="283"/>
              <w:jc w:val="left"/>
              <w:rPr/>
            </w:pPr>
            <w:r>
              <w:rPr/>
              <w:t> </w:t>
            </w:r>
          </w:p>
        </w:tc>
        <w:tc>
          <w:tcPr>
            <w:tcW w:w="223" w:type="dxa"/>
            <w:tcBorders>
              <w:left w:val="single" w:sz="12" w:space="0" w:color="000000"/>
            </w:tcBorders>
            <w:tcMar>
              <w:top w:w="0" w:type="dxa"/>
            </w:tcMar>
            <w:vAlign w:val="center"/>
          </w:tcPr>
          <w:p>
            <w:pPr>
              <w:pStyle w:val="TableContents"/>
              <w:bidi w:val="0"/>
              <w:spacing w:before="0" w:after="0"/>
              <w:jc w:val="center"/>
              <w:rPr/>
            </w:pPr>
            <w:r>
              <w:rPr/>
              <w:t>■</w:t>
            </w:r>
          </w:p>
        </w:tc>
        <w:tc>
          <w:tcPr>
            <w:tcW w:w="8421" w:type="dxa"/>
            <w:tcBorders>
              <w:right w:val="single" w:sz="12" w:space="0" w:color="000000"/>
            </w:tcBorders>
            <w:tcMar>
              <w:top w:w="0" w:type="dxa"/>
              <w:left w:w="0" w:type="dxa"/>
              <w:right w:w="28" w:type="dxa"/>
            </w:tcMar>
            <w:vAlign w:val="center"/>
          </w:tcPr>
          <w:p>
            <w:pPr>
              <w:pStyle w:val="TableContents"/>
              <w:bidi w:val="0"/>
              <w:spacing w:lineRule="auto" w:line="240" w:before="0" w:after="283"/>
              <w:jc w:val="left"/>
              <w:rPr>
                <w:rFonts w:ascii="Times New Roman" w:hAnsi="Times New Roman"/>
                <w:sz w:val="20"/>
              </w:rPr>
            </w:pPr>
            <w:r>
              <w:rPr>
                <w:rFonts w:ascii="Times New Roman" w:hAnsi="Times New Roman"/>
                <w:sz w:val="20"/>
              </w:rPr>
              <w:t>Tangible book value per share(2) was $27.71 at June 30, 2026 an increase of 4.4% from December 31, 2025</w:t>
            </w:r>
          </w:p>
        </w:tc>
      </w:tr>
      <w:tr>
        <w:trPr/>
        <w:tc>
          <w:tcPr>
            <w:tcW w:w="1561" w:type="dxa"/>
            <w:tcBorders>
              <w:left w:val="single" w:sz="12" w:space="0" w:color="000000"/>
            </w:tcBorders>
            <w:tcMar>
              <w:top w:w="0" w:type="dxa"/>
            </w:tcMar>
            <w:vAlign w:val="center"/>
          </w:tcPr>
          <w:p>
            <w:pPr>
              <w:pStyle w:val="TableContents"/>
              <w:bidi w:val="0"/>
              <w:spacing w:before="0" w:after="283"/>
              <w:jc w:val="left"/>
              <w:rPr/>
            </w:pPr>
            <w:r>
              <w:rPr/>
              <w:t> </w:t>
            </w:r>
          </w:p>
        </w:tc>
        <w:tc>
          <w:tcPr>
            <w:tcW w:w="223" w:type="dxa"/>
            <w:tcBorders>
              <w:left w:val="single" w:sz="12" w:space="0" w:color="000000"/>
            </w:tcBorders>
            <w:tcMar>
              <w:top w:w="0" w:type="dxa"/>
            </w:tcMar>
            <w:vAlign w:val="center"/>
          </w:tcPr>
          <w:p>
            <w:pPr>
              <w:pStyle w:val="TableContents"/>
              <w:bidi w:val="0"/>
              <w:spacing w:before="0" w:after="0"/>
              <w:jc w:val="center"/>
              <w:rPr/>
            </w:pPr>
            <w:r>
              <w:rPr/>
              <w:t>■</w:t>
            </w:r>
          </w:p>
        </w:tc>
        <w:tc>
          <w:tcPr>
            <w:tcW w:w="8421" w:type="dxa"/>
            <w:tcBorders>
              <w:right w:val="single" w:sz="12" w:space="0" w:color="000000"/>
            </w:tcBorders>
            <w:tcMar>
              <w:top w:w="0" w:type="dxa"/>
              <w:left w:w="0" w:type="dxa"/>
              <w:right w:w="28" w:type="dxa"/>
            </w:tcMar>
            <w:vAlign w:val="center"/>
          </w:tcPr>
          <w:p>
            <w:pPr>
              <w:pStyle w:val="TableContents"/>
              <w:bidi w:val="0"/>
              <w:spacing w:lineRule="auto" w:line="240" w:before="0" w:after="283"/>
              <w:jc w:val="left"/>
              <w:rPr>
                <w:rFonts w:ascii="Times New Roman" w:hAnsi="Times New Roman"/>
                <w:sz w:val="20"/>
              </w:rPr>
            </w:pPr>
            <w:r>
              <w:rPr>
                <w:rFonts w:ascii="Times New Roman" w:hAnsi="Times New Roman"/>
                <w:sz w:val="20"/>
              </w:rPr>
              <w:t>Tangible equity to assets was 9.16%(1)</w:t>
            </w:r>
          </w:p>
        </w:tc>
      </w:tr>
      <w:tr>
        <w:trPr/>
        <w:tc>
          <w:tcPr>
            <w:tcW w:w="1561"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223" w:type="dxa"/>
            <w:tcBorders>
              <w:left w:val="single" w:sz="12" w:space="0" w:color="000000"/>
              <w:bottom w:val="single" w:sz="12" w:space="0" w:color="000000"/>
            </w:tcBorders>
            <w:tcMar>
              <w:top w:w="0" w:type="dxa"/>
              <w:bottom w:w="28" w:type="dxa"/>
            </w:tcMar>
            <w:vAlign w:val="center"/>
          </w:tcPr>
          <w:p>
            <w:pPr>
              <w:pStyle w:val="TableContents"/>
              <w:bidi w:val="0"/>
              <w:spacing w:before="0" w:after="0"/>
              <w:jc w:val="center"/>
              <w:rPr/>
            </w:pPr>
            <w:r>
              <w:rPr/>
              <w:t xml:space="preserve">■ </w:t>
            </w:r>
          </w:p>
        </w:tc>
        <w:tc>
          <w:tcPr>
            <w:tcW w:w="8421"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CET1 ratio of 12.24%; Leverage ratio of 9.85%</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Loans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 w:name="zbe600d7556ba4b6ba2893f20f76ac5dc"/>
      <w:bookmarkStart w:id="9" w:name="zbe600d7556ba4b6ba2893f20f76ac5dc"/>
      <w:bookmarkEnd w:id="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Period end total loans were $11.87 billion at June 30, 2026, compared to $11.60 billion at December 31, 2025, with all business lines experiencing growth in the second quarter of 2026.</w:t>
            </w:r>
          </w:p>
        </w:tc>
      </w:tr>
    </w:tbl>
    <w:p>
      <w:pPr>
        <w:pStyle w:val="Normal"/>
        <w:bidi w:val="0"/>
        <w:spacing w:before="0" w:after="0"/>
        <w:jc w:val="left"/>
        <w:rPr>
          <w:sz w:val="4"/>
          <w:szCs w:val="4"/>
        </w:rPr>
      </w:pPr>
      <w:r>
        <w:rPr>
          <w:sz w:val="4"/>
          <w:szCs w:val="4"/>
        </w:rPr>
      </w:r>
      <w:bookmarkStart w:id="10" w:name="zbe93a290d843488185c3fd719869c0e4"/>
      <w:bookmarkStart w:id="11" w:name="zbe93a290d843488185c3fd719869c0e4"/>
      <w:bookmarkEnd w:id="1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bookmarkStart w:id="12" w:name="z_Hlk195706119"/>
            <w:bookmarkEnd w:id="12"/>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Period end total loans increased $276.0 million, or 2.4% from December 31, 2025 which included a $52.4 million decrease in the other consumer and residential solar portfolios, which are in a planned run-off status.</w:t>
            </w:r>
          </w:p>
        </w:tc>
      </w:tr>
    </w:tbl>
    <w:p>
      <w:pPr>
        <w:pStyle w:val="TextBody"/>
        <w:bidi w:val="0"/>
        <w:spacing w:before="0" w:after="0"/>
        <w:jc w:val="both"/>
        <w:rPr>
          <w:sz w:val="20"/>
        </w:rPr>
      </w:pPr>
      <w:r>
        <w:rPr>
          <w:sz w:val="20"/>
        </w:rPr>
      </w:r>
      <w:bookmarkStart w:id="13" w:name="z_Hlk38349172"/>
      <w:bookmarkStart w:id="14" w:name="z_Hlk38349172"/>
      <w:bookmarkEnd w:id="14"/>
    </w:p>
    <w:p>
      <w:pPr>
        <w:pStyle w:val="TextBody"/>
        <w:bidi w:val="0"/>
        <w:spacing w:before="0" w:after="0"/>
        <w:jc w:val="both"/>
        <w:rPr>
          <w:rFonts w:ascii="Times New Roman" w:hAnsi="Times New Roman"/>
          <w:b/>
          <w:color w:val="000000"/>
          <w:sz w:val="20"/>
        </w:rPr>
      </w:pPr>
      <w:bookmarkStart w:id="15" w:name="z_Hlk203055453"/>
      <w:bookmarkEnd w:id="15"/>
      <w:r>
        <w:rPr>
          <w:rFonts w:ascii="Times New Roman" w:hAnsi="Times New Roman"/>
          <w:b/>
          <w:color w:val="000000"/>
          <w:sz w:val="20"/>
        </w:rPr>
        <w:t>Deposits</w:t>
      </w:r>
    </w:p>
    <w:p>
      <w:pPr>
        <w:pStyle w:val="TextBody"/>
        <w:bidi w:val="0"/>
        <w:spacing w:before="0" w:after="0"/>
        <w:jc w:val="both"/>
        <w:rPr>
          <w:sz w:val="20"/>
        </w:rPr>
      </w:pPr>
      <w:r>
        <w:rPr>
          <w:sz w:val="20"/>
        </w:rPr>
      </w:r>
    </w:p>
    <w:p>
      <w:pPr>
        <w:pStyle w:val="Normal"/>
        <w:bidi w:val="0"/>
        <w:spacing w:before="0" w:after="0"/>
        <w:jc w:val="left"/>
        <w:rPr>
          <w:sz w:val="4"/>
          <w:szCs w:val="4"/>
        </w:rPr>
      </w:pPr>
      <w:r>
        <w:rPr>
          <w:sz w:val="4"/>
          <w:szCs w:val="4"/>
        </w:rPr>
      </w:r>
      <w:bookmarkStart w:id="16" w:name="z79e3fb8b72c84ee78816515785fc5c34"/>
      <w:bookmarkStart w:id="17" w:name="z79e3fb8b72c84ee78816515785fc5c34"/>
      <w:bookmarkEnd w:id="1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bookmarkStart w:id="18" w:name="z_Hlk108531235"/>
            <w:bookmarkEnd w:id="18"/>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Total deposits at June 30, 2026 were $13.54 billion compared to $13.50 billion at December 31, 202</w:t>
            </w:r>
            <w:bookmarkStart w:id="19" w:name="z_Hlk124487376"/>
            <w:bookmarkStart w:id="20" w:name="z_Hlk117600909"/>
            <w:bookmarkEnd w:id="19"/>
            <w:bookmarkEnd w:id="20"/>
            <w:r>
              <w:rPr>
                <w:rFonts w:ascii="Times New Roman" w:hAnsi="Times New Roman"/>
                <w:sz w:val="20"/>
              </w:rPr>
              <w:t>5. Deposit mix characteristics improved with an increase in demand deposits, interest-bearing checking, savings and money market accounts, partially offset by a decrease in time deposits.</w:t>
            </w:r>
          </w:p>
        </w:tc>
      </w:tr>
    </w:tbl>
    <w:p>
      <w:pPr>
        <w:pStyle w:val="Normal"/>
        <w:bidi w:val="0"/>
        <w:spacing w:before="0" w:after="0"/>
        <w:jc w:val="left"/>
        <w:rPr>
          <w:sz w:val="4"/>
          <w:szCs w:val="4"/>
        </w:rPr>
      </w:pPr>
      <w:r>
        <w:rPr>
          <w:sz w:val="4"/>
          <w:szCs w:val="4"/>
        </w:rPr>
      </w:r>
      <w:bookmarkStart w:id="21" w:name="z427814910aaf444c8139afd20904fb49"/>
      <w:bookmarkStart w:id="22" w:name="z427814910aaf444c8139afd20904fb49"/>
      <w:bookmarkEnd w:id="22"/>
    </w:p>
    <w:tbl>
      <w:tblPr>
        <w:tblW w:w="9828" w:type="dxa"/>
        <w:jc w:val="left"/>
        <w:tblInd w:w="0" w:type="dxa"/>
        <w:tblLayout w:type="fixed"/>
        <w:tblCellMar>
          <w:top w:w="0" w:type="dxa"/>
          <w:left w:w="0" w:type="dxa"/>
          <w:bottom w:w="0" w:type="dxa"/>
          <w:right w:w="0" w:type="dxa"/>
        </w:tblCellMar>
      </w:tblPr>
      <w:tblGrid>
        <w:gridCol w:w="38"/>
        <w:gridCol w:w="170"/>
        <w:gridCol w:w="9620"/>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6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Total deposits decreased $205.7 million from March 31, 2026, primarily due to expected seasonal municipal outflows.</w:t>
            </w:r>
          </w:p>
        </w:tc>
      </w:tr>
    </w:tbl>
    <w:p>
      <w:pPr>
        <w:pStyle w:val="Normal"/>
        <w:bidi w:val="0"/>
        <w:spacing w:before="0" w:after="0"/>
        <w:jc w:val="left"/>
        <w:rPr>
          <w:sz w:val="4"/>
          <w:szCs w:val="4"/>
        </w:rPr>
      </w:pPr>
      <w:r>
        <w:rPr>
          <w:sz w:val="4"/>
          <w:szCs w:val="4"/>
        </w:rPr>
      </w:r>
      <w:bookmarkStart w:id="23" w:name="zed8a9d9572494e39bccd6c4bda1a8a0b"/>
      <w:bookmarkStart w:id="24" w:name="zed8a9d9572494e39bccd6c4bda1a8a0b"/>
      <w:bookmarkEnd w:id="24"/>
    </w:p>
    <w:tbl>
      <w:tblPr>
        <w:tblW w:w="8058" w:type="dxa"/>
        <w:jc w:val="left"/>
        <w:tblInd w:w="0" w:type="dxa"/>
        <w:tblLayout w:type="fixed"/>
        <w:tblCellMar>
          <w:top w:w="0" w:type="dxa"/>
          <w:left w:w="0" w:type="dxa"/>
          <w:bottom w:w="0" w:type="dxa"/>
          <w:right w:w="0" w:type="dxa"/>
        </w:tblCellMar>
      </w:tblPr>
      <w:tblGrid>
        <w:gridCol w:w="38"/>
        <w:gridCol w:w="170"/>
        <w:gridCol w:w="7850"/>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loan to deposit ratio was 87.7% at June 30, 2026, compared to 85.9% at December 31, 2025.</w:t>
            </w:r>
          </w:p>
        </w:tc>
      </w:tr>
    </w:tbl>
    <w:p>
      <w:pPr>
        <w:pStyle w:val="TextBody"/>
        <w:bidi w:val="0"/>
        <w:spacing w:before="0" w:after="0"/>
        <w:jc w:val="both"/>
        <w:rPr>
          <w:sz w:val="20"/>
        </w:rPr>
      </w:pPr>
      <w:r>
        <w:rPr>
          <w:sz w:val="20"/>
        </w:rPr>
      </w:r>
      <w:bookmarkStart w:id="25" w:name="z_Hlk38350803"/>
      <w:bookmarkStart w:id="26" w:name="z_Hlk38350803"/>
      <w:bookmarkEnd w:id="26"/>
    </w:p>
    <w:p>
      <w:pPr>
        <w:pStyle w:val="TextBody"/>
        <w:bidi w:val="0"/>
        <w:spacing w:before="0" w:after="0"/>
        <w:jc w:val="both"/>
        <w:rPr>
          <w:rFonts w:ascii="Times New Roman" w:hAnsi="Times New Roman"/>
          <w:b/>
          <w:color w:val="000000"/>
          <w:sz w:val="20"/>
        </w:rPr>
      </w:pPr>
      <w:bookmarkStart w:id="27" w:name="z_Hlk163728278"/>
      <w:bookmarkEnd w:id="27"/>
      <w:r>
        <w:rPr>
          <w:rFonts w:ascii="Times New Roman" w:hAnsi="Times New Roman"/>
          <w:b/>
          <w:color w:val="000000"/>
          <w:sz w:val="20"/>
        </w:rPr>
        <w:t>Net Interest Income and Net Interest Margin</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8" w:name="z9823acbbdf9f4119ab40217814fd2f1a"/>
      <w:bookmarkStart w:id="29" w:name="z9823acbbdf9f4119ab40217814fd2f1a"/>
      <w:bookmarkEnd w:id="2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Net interest income for the second quarter of 2026 was $137.0 million, an increase of</w:t>
            </w:r>
            <w:r>
              <w:rPr>
                <w:rFonts w:ascii="Times New Roman" w:hAnsi="Times New Roman"/>
                <w:color w:val="FF0000"/>
                <w:sz w:val="20"/>
              </w:rPr>
              <w:t> </w:t>
            </w:r>
            <w:r>
              <w:rPr>
                <w:rFonts w:ascii="Times New Roman" w:hAnsi="Times New Roman"/>
                <w:sz w:val="20"/>
              </w:rPr>
              <w:t>$2.6 million, or 1.9%, from the first quarter of 2026 and an increase of $12.7 million, or 10.3%, from the second quarter of 2025. The increase in net interest income from the first quarter of 2026 was driven by one additional day in the second quarter of 2026, organic growth in interest-earning assets and a decrease in funding costs. The increase in net interest income from the second quarter of 2025 resulted primarily from the improvement in net interest margin, the Evans acquisition, organic growth in interest-earning assets and a decrease in funding costs.</w:t>
            </w:r>
          </w:p>
        </w:tc>
      </w:tr>
    </w:tbl>
    <w:p>
      <w:pPr>
        <w:pStyle w:val="Normal"/>
        <w:bidi w:val="0"/>
        <w:spacing w:before="0" w:after="0"/>
        <w:jc w:val="left"/>
        <w:rPr>
          <w:sz w:val="4"/>
          <w:szCs w:val="4"/>
        </w:rPr>
      </w:pPr>
      <w:r>
        <w:rPr>
          <w:sz w:val="4"/>
          <w:szCs w:val="4"/>
        </w:rPr>
      </w:r>
      <w:bookmarkStart w:id="30" w:name="z6ab49f577d8d4b848d96fea4c4ebe891"/>
      <w:bookmarkStart w:id="31" w:name="z6ab49f577d8d4b848d96fea4c4ebe891"/>
      <w:bookmarkEnd w:id="3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NIM on an FTE basis for the second quarter of 2026 was 3.73%, an increase of 1 bp from the first quarter of 2026, as a 1 bp decrease in the cost of funds more than offset a 1 bp decline in earning asset yields. The NIM on an FTE basis increased 14 bps from the second quarter of 2025 due to the impact of the Evans acquisition, organic growth and a decrease in the cost of funds.</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Normal"/>
        <w:bidi w:val="0"/>
        <w:spacing w:before="0" w:after="0"/>
        <w:jc w:val="left"/>
        <w:rPr>
          <w:sz w:val="4"/>
          <w:szCs w:val="4"/>
        </w:rPr>
      </w:pPr>
      <w:r>
        <w:rPr>
          <w:sz w:val="4"/>
          <w:szCs w:val="4"/>
        </w:rPr>
      </w:r>
      <w:bookmarkStart w:id="32" w:name="z24f917d7a69d4a7c9c0dbd1b3d000112"/>
      <w:bookmarkStart w:id="33" w:name="z24f917d7a69d4a7c9c0dbd1b3d000112"/>
      <w:bookmarkEnd w:id="3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Earning asset yields for the three months ended June 30, 2026 decreased 1 bp from the prior quarter to 5.05%. Loan yields for the three months ended June 30, 2026 decreased 2 bps from the prior quarter to 5.64%. Earning asset yields decreased 7 bps from the same quarter in the prior year due to Federal Reserve interest rate cuts in 2025. Average earning assets increased $109.8 million, or 0.7%, from the first quarter of 2026 and grew $846.2 million, or 6.1%, from the second quarter of 2025 due primarily to the addition of the interest-earning assets acquired from Evans and organic earning asset growth.</w:t>
            </w:r>
          </w:p>
        </w:tc>
      </w:tr>
    </w:tbl>
    <w:p>
      <w:pPr>
        <w:pStyle w:val="Normal"/>
        <w:bidi w:val="0"/>
        <w:spacing w:before="0" w:after="0"/>
        <w:jc w:val="left"/>
        <w:rPr>
          <w:sz w:val="4"/>
          <w:szCs w:val="4"/>
        </w:rPr>
      </w:pPr>
      <w:r>
        <w:rPr>
          <w:sz w:val="4"/>
          <w:szCs w:val="4"/>
        </w:rPr>
      </w:r>
      <w:bookmarkStart w:id="34" w:name="zb0b8f527b7d24f4f9db1f135aca4e48a"/>
      <w:bookmarkStart w:id="35" w:name="zb0b8f527b7d24f4f9db1f135aca4e48a"/>
      <w:bookmarkEnd w:id="3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Total cost of deposits, including noninterest bearing deposits, was 1.33% for the second quarter of 2026, a decrease of 1 bp from the prior quarter, primarily due to the decrease in the cost of time deposits. Total cost of deposits decreased 18 bps from the same period in the prior year.</w:t>
            </w:r>
          </w:p>
        </w:tc>
      </w:tr>
    </w:tbl>
    <w:p>
      <w:pPr>
        <w:pStyle w:val="Normal"/>
        <w:bidi w:val="0"/>
        <w:spacing w:before="0" w:after="0"/>
        <w:jc w:val="left"/>
        <w:rPr>
          <w:sz w:val="4"/>
          <w:szCs w:val="4"/>
        </w:rPr>
      </w:pPr>
      <w:r>
        <w:rPr>
          <w:sz w:val="4"/>
          <w:szCs w:val="4"/>
        </w:rPr>
      </w:r>
      <w:bookmarkStart w:id="36" w:name="z5b2bc7359cd840268d3d247a50c93286"/>
      <w:bookmarkStart w:id="37" w:name="z5b2bc7359cd840268d3d247a50c93286"/>
      <w:bookmarkEnd w:id="3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Total cost of funds for the three months ended June 30, 2026 was 1.41%, a decrease of 1 bp from the prior quarter and a decrease of 21 bps from the second quarter of 2025.</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rPr>
      </w:pPr>
      <w:bookmarkStart w:id="38" w:name="z_Hlk156206351"/>
      <w:bookmarkStart w:id="39" w:name="z_Hlk132743930"/>
      <w:bookmarkStart w:id="40" w:name="z_Hlk116650299"/>
      <w:bookmarkEnd w:id="38"/>
      <w:bookmarkEnd w:id="39"/>
      <w:bookmarkEnd w:id="40"/>
      <w:r>
        <w:rPr>
          <w:rFonts w:ascii="Times New Roman" w:hAnsi="Times New Roman"/>
          <w:b/>
          <w:color w:val="000000"/>
          <w:sz w:val="20"/>
        </w:rPr>
        <w:t>Asset Quality and Allowance for Loan Losses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1" w:name="z6baa231e52f34fb5b17d5040a6a8c431"/>
      <w:bookmarkStart w:id="42" w:name="z6baa231e52f34fb5b17d5040a6a8c431"/>
      <w:bookmarkEnd w:id="42"/>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Net charge-offs to total average loans for the second quarter of 2026 was 15 bps, compared to 17 bps in the prior quarter primarily due to a decrease in commercial net charge-offs, partially offset by an increase in residential solar and other consumer net charge-offs.</w:t>
            </w:r>
          </w:p>
        </w:tc>
      </w:tr>
    </w:tbl>
    <w:p>
      <w:pPr>
        <w:pStyle w:val="Normal"/>
        <w:bidi w:val="0"/>
        <w:spacing w:before="0" w:after="0"/>
        <w:jc w:val="left"/>
        <w:rPr>
          <w:sz w:val="4"/>
          <w:szCs w:val="4"/>
        </w:rPr>
      </w:pPr>
      <w:r>
        <w:rPr>
          <w:sz w:val="4"/>
          <w:szCs w:val="4"/>
        </w:rPr>
      </w:r>
      <w:bookmarkStart w:id="43" w:name="zbc955cfa1fec443bb045b2e02dc0e957"/>
      <w:bookmarkStart w:id="44" w:name="zbc955cfa1fec443bb045b2e02dc0e957"/>
      <w:bookmarkEnd w:id="44"/>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Nonperforming assets to total assets was 0.40% at June 30, 2026, up from 0.38% at March 31, 2026 and up from 0.33% at December 31, 2025. The increase in nonperforming assets was primarily due to an additional commercial lending relationship placed in nonaccrual status during the quarter. Past due loans to total loans increased 23 basis points from March 31, 2026, driven primarily by an increase in past due commercial loans. The majority of these loans are expected to return to current status in the third quarter.</w:t>
            </w:r>
          </w:p>
        </w:tc>
      </w:tr>
    </w:tbl>
    <w:p>
      <w:pPr>
        <w:pStyle w:val="Normal"/>
        <w:bidi w:val="0"/>
        <w:spacing w:before="0" w:after="0"/>
        <w:jc w:val="left"/>
        <w:rPr>
          <w:sz w:val="4"/>
          <w:szCs w:val="4"/>
        </w:rPr>
      </w:pPr>
      <w:r>
        <w:rPr>
          <w:sz w:val="4"/>
          <w:szCs w:val="4"/>
        </w:rPr>
      </w:r>
      <w:bookmarkStart w:id="45" w:name="zbab389ec2e80425aaa797ca9fc75ee82"/>
      <w:bookmarkStart w:id="46" w:name="zbab389ec2e80425aaa797ca9fc75ee82"/>
      <w:bookmarkEnd w:id="46"/>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bookmarkStart w:id="47" w:name="z_Hlk108530563"/>
            <w:bookmarkStart w:id="48" w:name="z_Hlk139991702"/>
            <w:bookmarkEnd w:id="47"/>
            <w:bookmarkEnd w:id="48"/>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Provision expense for the three months ended June 30, 2026 was $6.1 million, compared to $5.6 million for the first quarter of 2026. The increase in the provision for loan losses during the quarter was primarily due to providing for the second quarter’s loan growth.</w:t>
            </w:r>
          </w:p>
        </w:tc>
      </w:tr>
    </w:tbl>
    <w:p>
      <w:pPr>
        <w:pStyle w:val="Normal"/>
        <w:bidi w:val="0"/>
        <w:spacing w:before="0" w:after="0"/>
        <w:jc w:val="left"/>
        <w:rPr>
          <w:sz w:val="4"/>
          <w:szCs w:val="4"/>
        </w:rPr>
      </w:pPr>
      <w:r>
        <w:rPr>
          <w:sz w:val="4"/>
          <w:szCs w:val="4"/>
        </w:rPr>
      </w:r>
      <w:bookmarkStart w:id="49" w:name="z0d27b0ce31264fb99e97f25c6f2dd563"/>
      <w:bookmarkStart w:id="50" w:name="z0d27b0ce31264fb99e97f25c6f2dd563"/>
      <w:bookmarkEnd w:id="50"/>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allowance for loan losses was $140.5 million, or 1.18% of total loans, at June 30, 2026, compared to $138.6 million, or 1.20% of total loans, at March 31, 2026 and compared to $138.0 million, or 1.19% of total loans, at December 31, 2025. The increase in the allowance for loan losses in the second quarter of 2026 was primarily driven by providing for the second quarter’s loan growth, partially offset by portfolio mix changes with the run-off of the other consumer and residential solar portfolios.</w:t>
            </w:r>
          </w:p>
        </w:tc>
      </w:tr>
    </w:tbl>
    <w:p>
      <w:pPr>
        <w:pStyle w:val="Normal"/>
        <w:bidi w:val="0"/>
        <w:spacing w:before="0" w:after="0"/>
        <w:jc w:val="left"/>
        <w:rPr>
          <w:sz w:val="4"/>
          <w:szCs w:val="4"/>
        </w:rPr>
      </w:pPr>
      <w:r>
        <w:rPr>
          <w:sz w:val="4"/>
          <w:szCs w:val="4"/>
        </w:rPr>
      </w:r>
      <w:bookmarkStart w:id="51" w:name="za4f4153ee57f4a3e884c8207d8bbcf7d"/>
      <w:bookmarkStart w:id="52" w:name="za4f4153ee57f4a3e884c8207d8bbcf7d"/>
      <w:bookmarkEnd w:id="52"/>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reserve for unfunded loan commitments was $5.5 million at June 30, 2026 and March 31, 2026, compared to $5.8 million at December 31, 2025.</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Noninterest Income</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3" w:name="za9b9499934f14a9283c2e07b9862980d"/>
      <w:bookmarkStart w:id="54" w:name="za9b9499934f14a9283c2e07b9862980d"/>
      <w:bookmarkEnd w:id="54"/>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Total noninterest income, excluding securities gains, was $49.6 million for the three months ended June 30, 2026, consistent with the first quarter of 2026, and up $2.7 million, or 5.8%, from the second quarter of 2025.</w:t>
            </w:r>
          </w:p>
        </w:tc>
      </w:tr>
    </w:tbl>
    <w:p>
      <w:pPr>
        <w:pStyle w:val="Normal"/>
        <w:bidi w:val="0"/>
        <w:spacing w:before="0" w:after="0"/>
        <w:jc w:val="left"/>
        <w:rPr>
          <w:sz w:val="4"/>
          <w:szCs w:val="4"/>
        </w:rPr>
      </w:pPr>
      <w:r>
        <w:rPr>
          <w:sz w:val="4"/>
          <w:szCs w:val="4"/>
        </w:rPr>
      </w:r>
      <w:bookmarkStart w:id="55" w:name="z20176d117e664ef389e7e8b0606e6a7e"/>
      <w:bookmarkStart w:id="56" w:name="z20176d117e664ef389e7e8b0606e6a7e"/>
      <w:bookmarkEnd w:id="56"/>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Service charges on deposit accounts were comparable to the prior quarter and higher than the second quarter of 2025 due primarily to the Evans acquisition and new account growth.</w:t>
            </w:r>
          </w:p>
        </w:tc>
      </w:tr>
    </w:tbl>
    <w:p>
      <w:pPr>
        <w:pStyle w:val="Normal"/>
        <w:bidi w:val="0"/>
        <w:spacing w:before="0" w:after="0"/>
        <w:jc w:val="left"/>
        <w:rPr>
          <w:sz w:val="4"/>
          <w:szCs w:val="4"/>
        </w:rPr>
      </w:pPr>
      <w:r>
        <w:rPr>
          <w:sz w:val="4"/>
          <w:szCs w:val="4"/>
        </w:rPr>
      </w:r>
      <w:bookmarkStart w:id="57" w:name="z7191a849bef943c09649c488b242ab54"/>
      <w:bookmarkStart w:id="58" w:name="z7191a849bef943c09649c488b242ab54"/>
      <w:bookmarkEnd w:id="58"/>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Card services income increased $0.6 million, or 9.7%, from the prior quarter and increased $0.5 million, or 8.8% from the second quarter of 2025. The increase was driven by seasonal increased volumes.</w:t>
            </w:r>
          </w:p>
        </w:tc>
      </w:tr>
    </w:tbl>
    <w:p>
      <w:pPr>
        <w:pStyle w:val="Normal"/>
        <w:bidi w:val="0"/>
        <w:spacing w:before="0" w:after="0"/>
        <w:jc w:val="left"/>
        <w:rPr>
          <w:sz w:val="4"/>
          <w:szCs w:val="4"/>
        </w:rPr>
      </w:pPr>
      <w:r>
        <w:rPr>
          <w:sz w:val="4"/>
          <w:szCs w:val="4"/>
        </w:rPr>
      </w:r>
      <w:bookmarkStart w:id="59" w:name="z043eb779398f4b79a25a58c1f1f54d32"/>
      <w:bookmarkStart w:id="60" w:name="z043eb779398f4b79a25a58c1f1f54d32"/>
      <w:bookmarkEnd w:id="60"/>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Retirement plan administration fees increased $0.4 million, or 2.2%, from the prior quarter and increased $1.2 million, or 7.8%, from the second quarter of 2025. The increase from the prior quarter and the second quarter of 2025 was driven by higher activity-based fees, additional fees from new customer relationships and increased market values of assets under administration.</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Noninterest Expense</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1" w:name="z1c60ce155dae4c19aa4686b7f1d9faaa"/>
      <w:bookmarkStart w:id="62" w:name="z1c60ce155dae4c19aa4686b7f1d9faaa"/>
      <w:bookmarkEnd w:id="62"/>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bookmarkStart w:id="63" w:name="z_Hlk156042180"/>
            <w:bookmarkEnd w:id="63"/>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Total noninterest expense was $111.4 million for the second quarter of 2026, compared to $112.2 million for the first quarter of 2026 and $122.6 million for the second quarter of 2025. Excluding acquisition expenses of $17.2 million in the second quarter of 2025, noninterest expense was 5.7% higher than the second quarter of 2025 primarily due to the Evans acquisition and continued investments in our people, markets and infrastructure.</w:t>
            </w:r>
          </w:p>
        </w:tc>
      </w:tr>
    </w:tbl>
    <w:p>
      <w:pPr>
        <w:pStyle w:val="Normal"/>
        <w:bidi w:val="0"/>
        <w:spacing w:before="0" w:after="0"/>
        <w:jc w:val="left"/>
        <w:rPr>
          <w:sz w:val="4"/>
          <w:szCs w:val="4"/>
        </w:rPr>
      </w:pPr>
      <w:r>
        <w:rPr>
          <w:sz w:val="4"/>
          <w:szCs w:val="4"/>
        </w:rPr>
      </w:r>
      <w:bookmarkStart w:id="64" w:name="z3bb6780f314d41d381e5861abe6778a2"/>
      <w:bookmarkStart w:id="65" w:name="z3bb6780f314d41d381e5861abe6778a2"/>
      <w:bookmarkEnd w:id="6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Salaries and benefits increased 0.4% from the prior quarter driven by a full quarter of merit pay increases, which were effective in March, one additional payroll day and higher medical expenses. The increase was partially offset by lower payroll taxes and stock-based compensation expenses which are seasonally higher in the first quarter. The increase from the second quarter of 2025 was driven </w:t>
            </w:r>
            <w:bookmarkStart w:id="66" w:name="z_Hlk196284865"/>
            <w:bookmarkEnd w:id="66"/>
            <w:r>
              <w:rPr>
                <w:rFonts w:ascii="Times New Roman" w:hAnsi="Times New Roman"/>
                <w:sz w:val="20"/>
              </w:rPr>
              <w:t>by the impact of the Evans acquisition as NBT added 200 Evans employees in May 2025, annual merit pay increases and higher medical expenses.</w:t>
            </w:r>
          </w:p>
        </w:tc>
      </w:tr>
    </w:tbl>
    <w:p>
      <w:pPr>
        <w:pStyle w:val="Normal"/>
        <w:bidi w:val="0"/>
        <w:spacing w:before="0" w:after="0"/>
        <w:jc w:val="left"/>
        <w:rPr>
          <w:sz w:val="4"/>
          <w:szCs w:val="4"/>
        </w:rPr>
      </w:pPr>
      <w:r>
        <w:rPr>
          <w:sz w:val="4"/>
          <w:szCs w:val="4"/>
        </w:rPr>
      </w:r>
      <w:bookmarkStart w:id="67" w:name="zfca832e1613b41558fabb2e50345a4fa"/>
      <w:bookmarkStart w:id="68" w:name="zfca832e1613b41558fabb2e50345a4fa"/>
      <w:bookmarkEnd w:id="68"/>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Technology and data services were consistent with the prior quarter and increased $1.0 million from the second quarter of 2025 primarily due to the Evans acquisition, timing of planned activities and ongoing investment in enterprise technology initiatives.</w:t>
            </w:r>
          </w:p>
        </w:tc>
      </w:tr>
    </w:tbl>
    <w:p>
      <w:pPr>
        <w:pStyle w:val="Normal"/>
        <w:bidi w:val="0"/>
        <w:spacing w:before="0" w:after="0"/>
        <w:jc w:val="left"/>
        <w:rPr>
          <w:sz w:val="4"/>
          <w:szCs w:val="4"/>
        </w:rPr>
      </w:pPr>
      <w:r>
        <w:rPr>
          <w:sz w:val="4"/>
          <w:szCs w:val="4"/>
        </w:rPr>
      </w:r>
      <w:bookmarkStart w:id="69" w:name="z27c212d1eadf4d1ebb16b72c852ef461"/>
      <w:bookmarkStart w:id="70" w:name="z27c212d1eadf4d1ebb16b72c852ef461"/>
      <w:bookmarkEnd w:id="70"/>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Occupancy costs decreased $1.5 million from the prior quarter and increased $0.4 million from the second quarter of 2025. The $1.5 million decrease from the prior quarter was driven by lower seasonal maintenance and utilities costs following the harsh winter conditions across the footprint in the first quarter of 2026. The $0.4 million increase from the second quarter of 2025 was </w:t>
            </w:r>
            <w:bookmarkStart w:id="71" w:name="z_Hlk196285100"/>
            <w:bookmarkEnd w:id="71"/>
            <w:r>
              <w:rPr>
                <w:rFonts w:ascii="Times New Roman" w:hAnsi="Times New Roman"/>
                <w:sz w:val="20"/>
              </w:rPr>
              <w:t>driven by additional expenses from the Evans acquisition and higher facilities costs related to new branch banking locations.</w:t>
            </w:r>
          </w:p>
        </w:tc>
      </w:tr>
    </w:tbl>
    <w:p>
      <w:pPr>
        <w:pStyle w:val="Normal"/>
        <w:bidi w:val="0"/>
        <w:spacing w:before="0" w:after="0"/>
        <w:jc w:val="left"/>
        <w:rPr>
          <w:sz w:val="4"/>
          <w:szCs w:val="4"/>
        </w:rPr>
      </w:pPr>
      <w:r>
        <w:rPr>
          <w:sz w:val="4"/>
          <w:szCs w:val="4"/>
        </w:rPr>
      </w:r>
      <w:bookmarkStart w:id="72" w:name="zba88d5c02d734ce38b9644e641180914"/>
      <w:bookmarkStart w:id="73" w:name="zba88d5c02d734ce38b9644e641180914"/>
      <w:bookmarkEnd w:id="7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Professional fees and outside services were consistent with the prior quarter and increased $0.6 million from the second quarter of 2025 primarily due to the Evans acquisition and the timing of various initiatives.</w:t>
            </w:r>
          </w:p>
        </w:tc>
      </w:tr>
    </w:tbl>
    <w:p>
      <w:pPr>
        <w:pStyle w:val="Normal"/>
        <w:bidi w:val="0"/>
        <w:spacing w:before="0" w:after="0"/>
        <w:jc w:val="left"/>
        <w:rPr>
          <w:sz w:val="4"/>
          <w:szCs w:val="4"/>
        </w:rPr>
      </w:pPr>
      <w:r>
        <w:rPr>
          <w:sz w:val="4"/>
          <w:szCs w:val="4"/>
        </w:rPr>
      </w:r>
      <w:bookmarkStart w:id="74" w:name="z59fdc6a512be4df4b8d68b8015faee99"/>
      <w:bookmarkStart w:id="75" w:name="z59fdc6a512be4df4b8d68b8015faee99"/>
      <w:bookmarkEnd w:id="7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No provision expense for unfunded loan commitments was recognized for the three months ended June 30, 2026, compared to expense of $1.7 million for the three months ended June 30, 2025, which  included $0.5 million of acquisition-related provision associated with unfunded loan commitments acquired in the Evans acquisition.</w:t>
            </w:r>
          </w:p>
        </w:tc>
      </w:tr>
    </w:tbl>
    <w:p>
      <w:pPr>
        <w:pStyle w:val="Normal"/>
        <w:bidi w:val="0"/>
        <w:spacing w:before="0" w:after="0"/>
        <w:jc w:val="left"/>
        <w:rPr>
          <w:sz w:val="4"/>
          <w:szCs w:val="4"/>
        </w:rPr>
      </w:pPr>
      <w:r>
        <w:rPr>
          <w:sz w:val="4"/>
          <w:szCs w:val="4"/>
        </w:rPr>
      </w:r>
      <w:bookmarkStart w:id="76" w:name="za801cdbe784b46e6847881c2405ab0fb"/>
      <w:bookmarkStart w:id="77" w:name="za801cdbe784b46e6847881c2405ab0fb"/>
      <w:bookmarkEnd w:id="7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Other expenses were consistent with the prior quarter and increased $0.6 million from the second quarter of 2025. The increase from the second quarter of 2025 reflects the Evans acquisition including increased FDIC insurance expense</w:t>
            </w:r>
            <w:bookmarkStart w:id="78" w:name="z_Hlk163661381"/>
            <w:bookmarkStart w:id="79" w:name="z_Hlk61715799"/>
            <w:bookmarkEnd w:id="78"/>
            <w:bookmarkEnd w:id="79"/>
            <w:r>
              <w:rPr>
                <w:rFonts w:ascii="Times New Roman" w:hAnsi="Times New Roman"/>
                <w:sz w:val="20"/>
              </w:rPr>
              <w:t>, travel and charitable contributions.</w:t>
            </w:r>
          </w:p>
        </w:tc>
      </w:tr>
    </w:tbl>
    <w:p>
      <w:pPr>
        <w:pStyle w:val="TextBody"/>
        <w:bidi w:val="0"/>
        <w:spacing w:before="0" w:after="0"/>
        <w:jc w:val="left"/>
        <w:rPr>
          <w:sz w:val="20"/>
        </w:rPr>
      </w:pPr>
      <w:r>
        <w:rPr>
          <w:sz w:val="20"/>
        </w:rPr>
      </w:r>
      <w:bookmarkStart w:id="80" w:name="z_Hlk195200888"/>
      <w:bookmarkStart w:id="81" w:name="z_Hlk195200888"/>
      <w:bookmarkEnd w:id="81"/>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 w:name="z9b09eeeaab08461fb35f97611cafbcab"/>
      <w:bookmarkStart w:id="83" w:name="z9b09eeeaab08461fb35f97611cafbcab"/>
      <w:bookmarkEnd w:id="8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effective tax rate for the second quarter of 2026 was 23.3%, which was consistent with the prior quarter and down from 26.7% for the second quarter of 2025. The decrease in the effective tax rate from the second quarter of 2025 was primarily due to the second quarter 2025 estimated impact of nondeductible acquisition expenses related to the Evans acquisition and a lower level of tax-exempt income as a percentage of total pretax income.</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Capital</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4" w:name="zdcaffaacbb1144cfb6c3f5a47e6cebfc"/>
      <w:bookmarkStart w:id="85" w:name="zdcaffaacbb1144cfb6c3f5a47e6cebfc"/>
      <w:bookmarkEnd w:id="8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lineRule="auto" w:line="240" w:before="0" w:after="0"/>
              <w:jc w:val="both"/>
              <w:rPr>
                <w:rFonts w:ascii="Times New Roman" w:hAnsi="Times New Roman"/>
                <w:sz w:val="20"/>
              </w:rPr>
            </w:pPr>
            <w:r>
              <w:rPr>
                <w:rFonts w:ascii="Times New Roman" w:hAnsi="Times New Roman"/>
                <w:sz w:val="20"/>
              </w:rPr>
              <w:t>Tangible common equity to tangible assets(1) was 9.16% at June 30, 2026. Tangible book value per share(2) was $27.71 at June 30, 2026, which increased 4.4% from $26.54 at December 31, 2025 and increased 12.8% from $24.57 at June 30, 2025.</w:t>
            </w:r>
          </w:p>
        </w:tc>
      </w:tr>
    </w:tbl>
    <w:p>
      <w:pPr>
        <w:pStyle w:val="Normal"/>
        <w:bidi w:val="0"/>
        <w:spacing w:before="0" w:after="0"/>
        <w:jc w:val="left"/>
        <w:rPr>
          <w:sz w:val="4"/>
          <w:szCs w:val="4"/>
        </w:rPr>
      </w:pPr>
      <w:r>
        <w:rPr>
          <w:sz w:val="4"/>
          <w:szCs w:val="4"/>
        </w:rPr>
      </w:r>
      <w:bookmarkStart w:id="86" w:name="z1c8e19c9341e4711806d2ffdc9f311fb"/>
      <w:bookmarkStart w:id="87" w:name="z1c8e19c9341e4711806d2ffdc9f311fb"/>
      <w:bookmarkEnd w:id="8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Stockholders’ equity increased $47.7 million from December 31, 2025 driven by net income generation of $104.2 million, partially offset by dividends declared of $38.5 million, the repurchase of common stock of $14.0 million and a $6.5 million increase in accumulated other comprehensive loss reflecting the change in the fair value of securities available for sale.</w:t>
            </w:r>
          </w:p>
        </w:tc>
      </w:tr>
    </w:tbl>
    <w:p>
      <w:pPr>
        <w:pStyle w:val="Normal"/>
        <w:bidi w:val="0"/>
        <w:spacing w:before="0" w:after="0"/>
        <w:jc w:val="left"/>
        <w:rPr>
          <w:sz w:val="4"/>
          <w:szCs w:val="4"/>
        </w:rPr>
      </w:pPr>
      <w:r>
        <w:rPr>
          <w:sz w:val="4"/>
          <w:szCs w:val="4"/>
        </w:rPr>
      </w:r>
      <w:bookmarkStart w:id="88" w:name="z73bfab7251964a75bd6dd2da7acd0af8"/>
      <w:bookmarkStart w:id="89" w:name="z73bfab7251964a75bd6dd2da7acd0af8"/>
      <w:bookmarkEnd w:id="89"/>
    </w:p>
    <w:tbl>
      <w:tblPr>
        <w:tblW w:w="9888" w:type="dxa"/>
        <w:jc w:val="left"/>
        <w:tblInd w:w="0" w:type="dxa"/>
        <w:tblLayout w:type="fixed"/>
        <w:tblCellMar>
          <w:top w:w="0" w:type="dxa"/>
          <w:left w:w="0" w:type="dxa"/>
          <w:bottom w:w="0" w:type="dxa"/>
          <w:right w:w="0" w:type="dxa"/>
        </w:tblCellMar>
      </w:tblPr>
      <w:tblGrid>
        <w:gridCol w:w="38"/>
        <w:gridCol w:w="170"/>
        <w:gridCol w:w="9680"/>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As of June 30, 2026, CET1 capital ratio of 12.24%, leverage ratio of 9.85% and total risk-based capital ratio of 14.18%.</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Dividend</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0" w:name="z61d83cce721e494983d3385a6deee3d7"/>
      <w:bookmarkStart w:id="91" w:name="z61d83cce721e494983d3385a6deee3d7"/>
      <w:bookmarkEnd w:id="9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Board of Directors approved a third-quarter cash dividend of $0.40 per share at a meeting held earlier today. The dividend represents a $0.03 per share, or 8.1%, increase over the dividend paid in the third quarter of 2025. This is the Company’s fourteenth consecutive year of annual dividend increases. The dividend will be paid on September 15, 2026 to stockholders of record as of September 1, 2026.</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Stock Repurchase</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2" w:name="z16bc9b45444e41fab74d6f00d8012293"/>
      <w:bookmarkStart w:id="93" w:name="z16bc9b45444e41fab74d6f00d8012293"/>
      <w:bookmarkEnd w:id="9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Company purchased 68,595 shares of its common stock during the second quarter of 2026 for a total of $3.0 million at an average price of $43.96 per share under its previously announced stock repurchase program. The Company may repurchase shares of its common stock from time to time to mitigate the potential dilutive effects of stock-based incentive plans and other potential uses of common stock for corporate purposes. As of June 30, 2026, there were 1,431,405 shares available for repurchase under this plan.</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rPr>
      </w:pPr>
      <w:bookmarkStart w:id="94" w:name="z_Hlk38453390"/>
      <w:bookmarkStart w:id="95" w:name="z_Hlk38347691"/>
      <w:bookmarkStart w:id="96" w:name="z_Hlk38028233"/>
      <w:bookmarkStart w:id="97" w:name="z_Hlk212041815"/>
      <w:bookmarkEnd w:id="94"/>
      <w:bookmarkEnd w:id="95"/>
      <w:bookmarkEnd w:id="96"/>
      <w:bookmarkEnd w:id="97"/>
      <w:r>
        <w:rPr>
          <w:rFonts w:ascii="Times New Roman" w:hAnsi="Times New Roman"/>
          <w:b/>
          <w:color w:val="000000"/>
          <w:sz w:val="20"/>
        </w:rPr>
        <w:t>Subordinated Debt Redemption</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8" w:name="z4af1e7aa31e44cbeab877d2bc80b5e7f"/>
      <w:bookmarkStart w:id="99" w:name="z4af1e7aa31e44cbeab877d2bc80b5e7f"/>
      <w:bookmarkEnd w:id="9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On June 30, 2026, the Company redeemed $25 million of subordinated debt using existing liquidity sources. The subordinated debt had a fixed rate of 3.50% which converted to a floating rate at 6.50% in the second quarter of 2026.</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Conference Call and Webcast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 will host a conference call at 10:00 a.m. (Eastern) Tuesday, July 28, 2026, to review the second quarter 2026 financial results. The audio webcast link, along with the corresponding presentation slides, will be available on the Company’s Event Calendar page at </w:t>
      </w:r>
      <w:r>
        <w:rPr>
          <w:rFonts w:ascii="Times New Roman" w:hAnsi="Times New Roman"/>
          <w:color w:val="000000"/>
          <w:sz w:val="20"/>
          <w:u w:val="single"/>
        </w:rPr>
        <w:t>www.nbtbancorp.com/bn/presentations-events.html#events</w:t>
      </w:r>
      <w:r>
        <w:rPr>
          <w:rFonts w:ascii="Times New Roman" w:hAnsi="Times New Roman"/>
          <w:color w:val="000000"/>
          <w:sz w:val="20"/>
        </w:rPr>
        <w:t xml:space="preserve"> and will be archived for twelve months.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Corporate Overview</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NBT Bancorp Inc. is a financial holding company headquartered in Norwich, NY, with total assets of $16.21 billion at June 30, 2026. The Company primarily operates through NBT Bank, N.A., a full-service community bank, and through two financial services companies. NBT Bank, N.A. has 173 banking locations in New York, Pennsylvania, Vermont, Massachusetts, New Hampshire, Maine and Connecticut. EPIC Retirement Plan Services, based in Rochester, NY, is a national benefits administration firm. NBT Insurance Agency, LLC, based in Norwich, NY, is a full-service regional insurance agency. More information about NBT and its divisions is available online at: </w:t>
      </w:r>
      <w:r>
        <w:rPr>
          <w:rFonts w:ascii="Times New Roman" w:hAnsi="Times New Roman"/>
          <w:color w:val="000000"/>
          <w:sz w:val="20"/>
          <w:u w:val="single"/>
        </w:rPr>
        <w:t>www.nbtbancorp.com,</w:t>
      </w:r>
      <w:r>
        <w:rPr>
          <w:rFonts w:ascii="Times New Roman" w:hAnsi="Times New Roman"/>
          <w:color w:val="000000"/>
          <w:sz w:val="20"/>
        </w:rPr>
        <w:t xml:space="preserve"> </w:t>
      </w:r>
      <w:r>
        <w:rPr>
          <w:rFonts w:ascii="Times New Roman" w:hAnsi="Times New Roman"/>
          <w:color w:val="000000"/>
          <w:sz w:val="20"/>
          <w:u w:val="single"/>
        </w:rPr>
        <w:t>www.nbtbank.com,</w:t>
      </w:r>
      <w:r>
        <w:rPr>
          <w:rFonts w:ascii="Times New Roman" w:hAnsi="Times New Roman"/>
          <w:color w:val="000000"/>
          <w:sz w:val="20"/>
        </w:rPr>
        <w:t xml:space="preserve"> </w:t>
      </w:r>
      <w:r>
        <w:rPr>
          <w:rFonts w:ascii="Times New Roman" w:hAnsi="Times New Roman"/>
          <w:color w:val="000000"/>
          <w:sz w:val="20"/>
          <w:u w:val="single"/>
        </w:rPr>
        <w:t>www.epicrps.com</w:t>
      </w:r>
      <w:r>
        <w:rPr>
          <w:rFonts w:ascii="Times New Roman" w:hAnsi="Times New Roman"/>
          <w:color w:val="000000"/>
          <w:sz w:val="20"/>
        </w:rPr>
        <w:t xml:space="preserve"> and </w:t>
      </w:r>
      <w:r>
        <w:rPr>
          <w:rFonts w:ascii="Times New Roman" w:hAnsi="Times New Roman"/>
          <w:color w:val="000000"/>
          <w:sz w:val="20"/>
          <w:u w:val="single"/>
        </w:rPr>
        <w:t>www.nbtbank.com/Insurance</w:t>
      </w:r>
      <w:r>
        <w:rPr>
          <w:rFonts w:ascii="Times New Roman" w:hAnsi="Times New Roman"/>
          <w:color w:val="000000"/>
          <w:sz w:val="20"/>
        </w:rPr>
        <w:t>.</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press release contains forward-looking statements, as defined in the Private Securities Litigation Reform Act of 1995. These statements may be identified by the use of phrases such as “anticipate,” “believe,” “expect,” “forecasts,” “projects,” “will,” “can,” “would,” “should,” “could,” “may,” or other similar terms. There are a number of factors, many of which are beyond the Company’s control, that could cause actual results to differ materially from those contemplated by any forward-looking statements. Factors that may cause actual results to differ materially from those contemplated by such forward-looking statements include, among others, the following possibilities: (1) local, regional, national and international economic conditions, including actual or potential stress in the banking industry, and the impact they may have on the Company and its customers, and the Company’s assessment of that impact; (2) changes in the level of nonperforming assets and charge-offs; (3) changes in estimates of future reserve requirements based upon the periodic review thereof under relevant regulatory and accounting requirements; (4) the effects of and changes in trade and monetary and fiscal policies and laws, including the interest rate policies of the Federal Reserve Board (“FRB”) and international trade disputes (including threatened or implemented tariffs imposed by the U.S. and threatened or implemented tariffs imposed by foreign countries in retaliation); (5) inflation, interest rate, securities market and monetary fluctuations; (6) political instability; (7) acts of war, including international military conflicts, or terrorism; (8) the timely development and acceptance of new products and services and the perceived overall value of these products and services by users; (9) changes in consumer spending, borrowing and saving habits; (10) changes in the financial performance and/or condition of the Company’s borrowers; (11) technological changes; (12) acquisition and integration of acquired businesses; (13) the ability to increase market share and control expenses; (14) changes in the competitive environment among financial holding companies; (15) the effect of changes in laws and regulations (including laws and regulations concerning taxes, banking, securities and insurance) with which the Company and its subsidiaries must comply, including those under the Dodd-Frank Act, and the Economic Growth, Regulatory Relief, and Consumer Protection Act of 2018; (16) the effect of changes in accounting policies and practices, as may be adopted by the regulatory agencies, as well as the Public Company Accounting Oversight Board, the Financial Accounting Standards Board and other accounting standard setters; (17) changes in the Company’s organization, compensation and benefit plans; (18) the costs and effects of legal and regulatory developments, including the resolution of legal proceedings or regulatory or other governmental inquiries, and the results of regulatory examinations or reviews; (19) greater than expected costs or difficulties related to the integration of new products and lines of business; and (20) the Company’s success at managing the risks involved in the foregoing items.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cautions readers not to place undue reliance on any forward-looking statements, which speak only as of the date on which they are made, and advises readers that various factors, including, but not limited to, those described above and other factors discussed in the Company’s annual and quarterly reports previously filed with the SEC, could affect the Company’s financial performance and could cause the Company’s actual results or circumstances for future periods to differ materially from those anticipated or projected.</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Unless required by law, the Company does not undertake, and specifically disclaims any obligations to, publicly release any revisions that may be made to any forward-looking statements to reflect the occurrence of anticipated or unanticipated events or circumstances after the date of such statements.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Non-GAAP Measures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This press release </w:t>
      </w:r>
      <w:bookmarkStart w:id="100" w:name="z_Hlk109554435"/>
      <w:bookmarkEnd w:id="100"/>
      <w:r>
        <w:rPr>
          <w:rFonts w:ascii="Times New Roman" w:hAnsi="Times New Roman"/>
          <w:color w:val="000000"/>
          <w:sz w:val="20"/>
        </w:rPr>
        <w:t>contains financial information determined by methods other than in accordance with U.S. generally accepted accounting principles (“GAAP”). Where non-GAAP disclosures are used in this press release, the comparable GAAP measure, as well as a reconciliation to the comparable GAAP measure, is provided in the accompanying tables. Management believes that these non-GAAP measures provide useful information that is important to an understanding of the results of the Company’s core business as well as provide information standard in the financial institution industry. Non-GAAP measures should not be considered a substitute for financial measures determined in accordance with GAAP and investors should consider the Company’s performance and financial condition as reported under GAAP and all other relevant information when assessing the performance or financial condition of the Company. Amounts previously reported in the consolidated financial statements are reclassified whenever necessary to conform to current period presentation.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Normal"/>
        <w:bidi w:val="0"/>
        <w:spacing w:before="0" w:after="0"/>
        <w:jc w:val="left"/>
        <w:rPr>
          <w:sz w:val="4"/>
          <w:szCs w:val="4"/>
        </w:rPr>
      </w:pPr>
      <w:r>
        <w:rPr>
          <w:sz w:val="4"/>
          <w:szCs w:val="4"/>
        </w:rPr>
      </w:r>
      <w:bookmarkStart w:id="101" w:name="z00c5bd7afaa345bba54cf7c9ebdc38e9"/>
      <w:bookmarkStart w:id="102" w:name="z00c5bd7afaa345bba54cf7c9ebdc38e9"/>
      <w:bookmarkEnd w:id="102"/>
    </w:p>
    <w:tbl>
      <w:tblPr>
        <w:tblW w:w="11060" w:type="dxa"/>
        <w:jc w:val="left"/>
        <w:tblInd w:w="0" w:type="dxa"/>
        <w:tblLayout w:type="fixed"/>
        <w:tblCellMar>
          <w:top w:w="0" w:type="dxa"/>
          <w:left w:w="0" w:type="dxa"/>
          <w:bottom w:w="0" w:type="dxa"/>
          <w:right w:w="0" w:type="dxa"/>
        </w:tblCellMar>
      </w:tblPr>
      <w:tblGrid>
        <w:gridCol w:w="4430"/>
        <w:gridCol w:w="60"/>
        <w:gridCol w:w="125"/>
        <w:gridCol w:w="950"/>
        <w:gridCol w:w="215"/>
        <w:gridCol w:w="60"/>
        <w:gridCol w:w="125"/>
        <w:gridCol w:w="950"/>
        <w:gridCol w:w="185"/>
        <w:gridCol w:w="60"/>
        <w:gridCol w:w="125"/>
        <w:gridCol w:w="950"/>
        <w:gridCol w:w="185"/>
        <w:gridCol w:w="60"/>
        <w:gridCol w:w="125"/>
        <w:gridCol w:w="950"/>
        <w:gridCol w:w="185"/>
        <w:gridCol w:w="60"/>
        <w:gridCol w:w="125"/>
        <w:gridCol w:w="950"/>
        <w:gridCol w:w="185"/>
      </w:tblGrid>
      <w:tr>
        <w:trPr/>
        <w:tc>
          <w:tcPr>
            <w:tcW w:w="4430" w:type="dxa"/>
            <w:tcBorders/>
            <w:vAlign w:val="bottom"/>
          </w:tcPr>
          <w:p>
            <w:pPr>
              <w:pStyle w:val="TableContents"/>
              <w:bidi w:val="0"/>
              <w:spacing w:before="0" w:after="0"/>
              <w:jc w:val="left"/>
              <w:rPr>
                <w:rFonts w:ascii="Times New Roman" w:hAnsi="Times New Roman"/>
                <w:b/>
                <w:sz w:val="20"/>
              </w:rPr>
            </w:pPr>
            <w:bookmarkStart w:id="103" w:name="RANGEA1%3AF63"/>
            <w:bookmarkEnd w:id="103"/>
            <w:r>
              <w:rPr>
                <w:rFonts w:ascii="Times New Roman" w:hAnsi="Times New Roman"/>
                <w:b/>
                <w:sz w:val="20"/>
              </w:rPr>
              <w:t>NBT Bancorp Inc. and Subsidiaries</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Selected Financial Data</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(unaudited, dollars in thousands except per share data)</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2425"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left"/>
              <w:rPr/>
            </w:pPr>
            <w:r>
              <w:rPr/>
              <w:t> </w:t>
            </w:r>
          </w:p>
        </w:tc>
        <w:tc>
          <w:tcPr>
            <w:tcW w:w="3715" w:type="dxa"/>
            <w:gridSpan w:val="10"/>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1st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4th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3rd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Profitability (reported)</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Diluted earnings per share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0.98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0.44</w:t>
            </w:r>
          </w:p>
        </w:tc>
        <w:tc>
          <w:tcPr>
            <w:tcW w:w="185" w:type="dxa"/>
            <w:tcBorders/>
            <w:shd w:fill="CCEEFF" w:val="clear"/>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diluted common shares outstanding</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52,238,983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52,352,800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52,524,388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52,642,688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50,787,474</w:t>
            </w:r>
          </w:p>
        </w:tc>
        <w:tc>
          <w:tcPr>
            <w:tcW w:w="185" w:type="dxa"/>
            <w:tcBorders/>
            <w:vAlign w:val="bottom"/>
          </w:tcPr>
          <w:p>
            <w:pPr>
              <w:pStyle w:val="TableContents"/>
              <w:bidi w:val="0"/>
              <w:spacing w:before="0" w:after="283"/>
              <w:jc w:val="left"/>
              <w:rPr/>
            </w:pPr>
            <w:r>
              <w:rPr/>
              <w:t> </w:t>
            </w:r>
          </w:p>
        </w:tc>
      </w:tr>
      <w:tr>
        <w:trPr/>
        <w:tc>
          <w:tcPr>
            <w:tcW w:w="4430" w:type="dxa"/>
            <w:tcBorders/>
            <w:shd w:fill="CCEEFF" w:val="cle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Return on average assets(3)</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1.32</w:t>
            </w:r>
          </w:p>
        </w:tc>
        <w:tc>
          <w:tcPr>
            <w:tcW w:w="2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1.37</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1.35</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0.59</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30" w:type="dxa"/>
            <w:tcBorders/>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Return on average equity(3)</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11.04</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10.89</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11.81</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11.86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5.27</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30" w:type="dxa"/>
            <w:tcBorders/>
            <w:shd w:fill="CCEEFF" w:val="cle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Return on average tangible common equity(1)(3)</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15.65</w:t>
            </w:r>
          </w:p>
        </w:tc>
        <w:tc>
          <w:tcPr>
            <w:tcW w:w="2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15.59</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17.05</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17.35</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8.01</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30" w:type="dxa"/>
            <w:tcBorders>
              <w:bottom w:val="single" w:sz="12" w:space="0" w:color="000000"/>
            </w:tcBorders>
            <w:tcMar>
              <w:bottom w:w="28" w:type="dxa"/>
            </w:tcM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Net interest margin(1)(3)</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3.73</w:t>
            </w:r>
          </w:p>
        </w:tc>
        <w:tc>
          <w:tcPr>
            <w:tcW w:w="21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3.72</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3.65</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3.66</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3.59</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2425"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6 Months Ended June 30,</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21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Profitability (reported)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Diluted earnings per share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1.99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1.21</w:t>
            </w:r>
          </w:p>
        </w:tc>
        <w:tc>
          <w:tcPr>
            <w:tcW w:w="185" w:type="dxa"/>
            <w:tcBorders/>
            <w:shd w:fill="CCEEFF" w:val="cle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diluted common shares outstanding</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52,290,178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49,143,067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shd w:fill="CCEEFF" w:val="cle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Return on average assets(3)</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1.31</w:t>
            </w:r>
          </w:p>
        </w:tc>
        <w:tc>
          <w:tcPr>
            <w:tcW w:w="2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0.82</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Return on average equity(3)</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10.96</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7.35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shd w:fill="CCEEFF" w:val="cle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Return on average tangible common equity(1)(3)</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15.62</w:t>
            </w:r>
          </w:p>
        </w:tc>
        <w:tc>
          <w:tcPr>
            <w:tcW w:w="2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10.69</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bottom w:val="single" w:sz="12" w:space="0" w:color="000000"/>
            </w:tcBorders>
            <w:tcMar>
              <w:bottom w:w="28" w:type="dxa"/>
            </w:tcM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Net interest margin(1)(3)</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3.73</w:t>
            </w:r>
          </w:p>
        </w:tc>
        <w:tc>
          <w:tcPr>
            <w:tcW w:w="21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3.52</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2425"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left"/>
              <w:rPr/>
            </w:pPr>
            <w:r>
              <w:rPr/>
              <w:t> </w:t>
            </w:r>
          </w:p>
        </w:tc>
        <w:tc>
          <w:tcPr>
            <w:tcW w:w="3900" w:type="dxa"/>
            <w:gridSpan w:val="11"/>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4430" w:type="dxa"/>
            <w:tcBorders/>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1st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4th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3rd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Profitability (operating)</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shd w:fill="CCEEFF" w:val="cle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Diluted earnings per share(1)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0.97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0.88</w:t>
            </w:r>
          </w:p>
        </w:tc>
        <w:tc>
          <w:tcPr>
            <w:tcW w:w="185" w:type="dxa"/>
            <w:tcBorders/>
            <w:shd w:fill="CCEEFF" w:val="clear"/>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Return on average assets(1)(3)</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1.32</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1.29</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1.37</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1.37</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1.19</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30" w:type="dxa"/>
            <w:tcBorders/>
            <w:shd w:fill="CCEEFF" w:val="cle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Return on average equity(1)(3)</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11.01</w:t>
            </w:r>
          </w:p>
        </w:tc>
        <w:tc>
          <w:tcPr>
            <w:tcW w:w="2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10.82</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11.79</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12.05</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10.52</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30" w:type="dxa"/>
            <w:tcBorders>
              <w:bottom w:val="single" w:sz="12" w:space="0" w:color="000000"/>
            </w:tcBorders>
            <w:tcMar>
              <w:bottom w:w="28" w:type="dxa"/>
            </w:tcM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Return on average tangible common equity(1)(3)</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15.61</w:t>
            </w:r>
          </w:p>
        </w:tc>
        <w:tc>
          <w:tcPr>
            <w:tcW w:w="21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15.50</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17.02</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17.61</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15.25</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2425"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6 Months Ended June 30,</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21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Profitability (operating)</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shd w:fill="CCEEFF" w:val="cle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Diluted earnings per share(1)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1.98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1.70</w:t>
            </w:r>
          </w:p>
        </w:tc>
        <w:tc>
          <w:tcPr>
            <w:tcW w:w="185" w:type="dxa"/>
            <w:tcBorders/>
            <w:shd w:fill="CCEEFF" w:val="cle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Return on average assets(1)(3)</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1.30</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shd w:fill="CCEEFF" w:val="cle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Return on average equity(1)(3)</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10.91</w:t>
            </w:r>
          </w:p>
        </w:tc>
        <w:tc>
          <w:tcPr>
            <w:tcW w:w="2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10.34</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bottom w:val="single" w:sz="12" w:space="0" w:color="000000"/>
            </w:tcBorders>
            <w:tcMar>
              <w:bottom w:w="28" w:type="dxa"/>
            </w:tcM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Return on average tangible common equity(1)(3)</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15.55</w:t>
            </w:r>
          </w:p>
        </w:tc>
        <w:tc>
          <w:tcPr>
            <w:tcW w:w="21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14.77</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2425"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left"/>
              <w:rPr/>
            </w:pPr>
            <w:r>
              <w:rPr/>
              <w:t> </w:t>
            </w:r>
          </w:p>
        </w:tc>
        <w:tc>
          <w:tcPr>
            <w:tcW w:w="3900" w:type="dxa"/>
            <w:gridSpan w:val="11"/>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4430" w:type="dxa"/>
            <w:tcBorders/>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1st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4th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3rd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Balance sheet data</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Short-term interest-bearing accounts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107,489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564,514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301,958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394,485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276,786</w:t>
            </w:r>
          </w:p>
        </w:tc>
        <w:tc>
          <w:tcPr>
            <w:tcW w:w="185" w:type="dxa"/>
            <w:tcBorders/>
            <w:shd w:fill="CCEEFF" w:val="clear"/>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Securities available for sale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2,006,206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1,918,526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1,862,838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1,813,194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1,729,428</w:t>
            </w:r>
          </w:p>
        </w:tc>
        <w:tc>
          <w:tcPr>
            <w:tcW w:w="185" w:type="dxa"/>
            <w:tcBorders/>
            <w:vAlign w:val="bottom"/>
          </w:tcPr>
          <w:p>
            <w:pPr>
              <w:pStyle w:val="TableContents"/>
              <w:bidi w:val="0"/>
              <w:spacing w:before="0" w:after="283"/>
              <w:jc w:val="left"/>
              <w:rPr/>
            </w:pPr>
            <w:r>
              <w:rPr/>
              <w:t> </w:t>
            </w:r>
          </w:p>
        </w:tc>
      </w:tr>
      <w:tr>
        <w:trPr/>
        <w:tc>
          <w:tcPr>
            <w:tcW w:w="44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Securities held to maturity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755,086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748,607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762,756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771,474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809,664</w:t>
            </w:r>
          </w:p>
        </w:tc>
        <w:tc>
          <w:tcPr>
            <w:tcW w:w="185" w:type="dxa"/>
            <w:tcBorders/>
            <w:shd w:fill="CCEEFF" w:val="clear"/>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loans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11,733,581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11,408,655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11,460,114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11,456,134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11,484,480</w:t>
            </w:r>
          </w:p>
        </w:tc>
        <w:tc>
          <w:tcPr>
            <w:tcW w:w="185" w:type="dxa"/>
            <w:tcBorders/>
            <w:vAlign w:val="bottom"/>
          </w:tcPr>
          <w:p>
            <w:pPr>
              <w:pStyle w:val="TableContents"/>
              <w:bidi w:val="0"/>
              <w:spacing w:before="0" w:after="283"/>
              <w:jc w:val="left"/>
              <w:rPr/>
            </w:pPr>
            <w:r>
              <w:rPr/>
              <w:t> </w:t>
            </w:r>
          </w:p>
        </w:tc>
      </w:tr>
      <w:tr>
        <w:trPr/>
        <w:tc>
          <w:tcPr>
            <w:tcW w:w="44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16,214,957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16,204,406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15,995,121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16,112,584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16,014,781</w:t>
            </w:r>
          </w:p>
        </w:tc>
        <w:tc>
          <w:tcPr>
            <w:tcW w:w="185" w:type="dxa"/>
            <w:tcBorders/>
            <w:shd w:fill="CCEEFF" w:val="clear"/>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13,537,302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13,742,966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13,499,193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13,660,918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13,515,232</w:t>
            </w:r>
          </w:p>
        </w:tc>
        <w:tc>
          <w:tcPr>
            <w:tcW w:w="185" w:type="dxa"/>
            <w:tcBorders/>
            <w:vAlign w:val="bottom"/>
          </w:tcPr>
          <w:p>
            <w:pPr>
              <w:pStyle w:val="TableContents"/>
              <w:bidi w:val="0"/>
              <w:spacing w:before="0" w:after="283"/>
              <w:jc w:val="left"/>
              <w:rPr/>
            </w:pPr>
            <w:r>
              <w:rPr/>
              <w:t> </w:t>
            </w:r>
          </w:p>
        </w:tc>
      </w:tr>
      <w:tr>
        <w:trPr/>
        <w:tc>
          <w:tcPr>
            <w:tcW w:w="44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borrowings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471,195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297,407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327,422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319,358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411,376</w:t>
            </w:r>
          </w:p>
        </w:tc>
        <w:tc>
          <w:tcPr>
            <w:tcW w:w="185" w:type="dxa"/>
            <w:tcBorders/>
            <w:shd w:fill="CCEEFF" w:val="clear"/>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14,271,038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14,290,009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14,098,905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14,259,438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14,209,615</w:t>
            </w:r>
          </w:p>
        </w:tc>
        <w:tc>
          <w:tcPr>
            <w:tcW w:w="185" w:type="dxa"/>
            <w:tcBorders/>
            <w:vAlign w:val="bottom"/>
          </w:tcPr>
          <w:p>
            <w:pPr>
              <w:pStyle w:val="TableContents"/>
              <w:bidi w:val="0"/>
              <w:spacing w:before="0" w:after="283"/>
              <w:jc w:val="left"/>
              <w:rPr/>
            </w:pPr>
            <w:r>
              <w:rPr/>
              <w:t> </w:t>
            </w:r>
          </w:p>
        </w:tc>
      </w:tr>
      <w:tr>
        <w:trPr/>
        <w:tc>
          <w:tcPr>
            <w:tcW w:w="443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1,943,919</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1,914,397</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1,896,216</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1,853,146</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1,805,166</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Capital</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 to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11.99</w:t>
            </w:r>
          </w:p>
        </w:tc>
        <w:tc>
          <w:tcPr>
            <w:tcW w:w="2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11.81</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11.85</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11.50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11.27</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30" w:type="dxa"/>
            <w:tcBorders/>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Tangible equity ratio(1)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9.16</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8.58</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8.30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Book value per share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37.42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36.81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36.32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35.33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34.46</w:t>
            </w:r>
          </w:p>
        </w:tc>
        <w:tc>
          <w:tcPr>
            <w:tcW w:w="185" w:type="dxa"/>
            <w:tcBorders/>
            <w:shd w:fill="CCEEFF" w:val="clear"/>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Tangible book value per share(2)</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27.71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27.05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26.54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25.51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24.57</w:t>
            </w:r>
          </w:p>
        </w:tc>
        <w:tc>
          <w:tcPr>
            <w:tcW w:w="185" w:type="dxa"/>
            <w:tcBorders/>
            <w:vAlign w:val="bottom"/>
          </w:tcPr>
          <w:p>
            <w:pPr>
              <w:pStyle w:val="TableContents"/>
              <w:bidi w:val="0"/>
              <w:spacing w:before="0" w:after="283"/>
              <w:jc w:val="left"/>
              <w:rPr/>
            </w:pPr>
            <w:r>
              <w:rPr/>
              <w:t> </w:t>
            </w:r>
          </w:p>
        </w:tc>
      </w:tr>
      <w:tr>
        <w:trPr/>
        <w:tc>
          <w:tcPr>
            <w:tcW w:w="44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Leverage ratio</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9.85</w:t>
            </w:r>
          </w:p>
        </w:tc>
        <w:tc>
          <w:tcPr>
            <w:tcW w:w="2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9.70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9.48</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9.34</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9.55</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Common equity tier 1 capital ratio</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12.24</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12.34</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12.07</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11.80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11.37</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Tier 1 capital ratio</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12.24</w:t>
            </w:r>
          </w:p>
        </w:tc>
        <w:tc>
          <w:tcPr>
            <w:tcW w:w="2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12.34</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12.07</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11.80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11.37</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risk-based capital ratio</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14.18</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14.52</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14.24</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13.97</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14.48</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3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Common stock price (end of period)</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49.37</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42.58</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41.52</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41.76</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41.55</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Normal"/>
        <w:bidi w:val="0"/>
        <w:spacing w:before="0" w:after="0"/>
        <w:jc w:val="left"/>
        <w:rPr>
          <w:sz w:val="4"/>
          <w:szCs w:val="4"/>
        </w:rPr>
      </w:pPr>
      <w:r>
        <w:rPr>
          <w:sz w:val="4"/>
          <w:szCs w:val="4"/>
        </w:rPr>
      </w:r>
      <w:bookmarkStart w:id="104" w:name="z16d230a671e347719a2c15d6ec866bb0"/>
      <w:bookmarkStart w:id="105" w:name="z16d230a671e347719a2c15d6ec866bb0"/>
      <w:bookmarkEnd w:id="105"/>
    </w:p>
    <w:tbl>
      <w:tblPr>
        <w:tblW w:w="11090" w:type="dxa"/>
        <w:jc w:val="left"/>
        <w:tblInd w:w="0" w:type="dxa"/>
        <w:tblLayout w:type="fixed"/>
        <w:tblCellMar>
          <w:top w:w="0" w:type="dxa"/>
          <w:left w:w="0" w:type="dxa"/>
          <w:bottom w:w="0" w:type="dxa"/>
          <w:right w:w="0" w:type="dxa"/>
        </w:tblCellMar>
      </w:tblPr>
      <w:tblGrid>
        <w:gridCol w:w="4460"/>
        <w:gridCol w:w="60"/>
        <w:gridCol w:w="125"/>
        <w:gridCol w:w="950"/>
        <w:gridCol w:w="215"/>
        <w:gridCol w:w="60"/>
        <w:gridCol w:w="125"/>
        <w:gridCol w:w="950"/>
        <w:gridCol w:w="185"/>
        <w:gridCol w:w="60"/>
        <w:gridCol w:w="125"/>
        <w:gridCol w:w="950"/>
        <w:gridCol w:w="185"/>
        <w:gridCol w:w="60"/>
        <w:gridCol w:w="125"/>
        <w:gridCol w:w="950"/>
        <w:gridCol w:w="185"/>
        <w:gridCol w:w="60"/>
        <w:gridCol w:w="125"/>
        <w:gridCol w:w="950"/>
        <w:gridCol w:w="185"/>
      </w:tblGrid>
      <w:tr>
        <w:trPr/>
        <w:tc>
          <w:tcPr>
            <w:tcW w:w="44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NBT Bancorp Inc. and Subsidiaries</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446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 Quality and Consolidated Loan Balances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(unaudited, dollars in thousands)</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2425"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left"/>
              <w:rPr/>
            </w:pPr>
            <w:r>
              <w:rPr/>
              <w:t> </w:t>
            </w:r>
          </w:p>
        </w:tc>
        <w:tc>
          <w:tcPr>
            <w:tcW w:w="3715" w:type="dxa"/>
            <w:gridSpan w:val="10"/>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1st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4th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3rd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Asset quality</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Nonaccrual loans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62,898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57,903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44,592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46,450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43,181</w:t>
            </w:r>
          </w:p>
        </w:tc>
        <w:tc>
          <w:tcPr>
            <w:tcW w:w="185"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90 days past due and still accruing</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2,410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3,352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7,131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6,966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3,211</w:t>
            </w:r>
          </w:p>
        </w:tc>
        <w:tc>
          <w:tcPr>
            <w:tcW w:w="185"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nonperforming loans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65,308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61,255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51,723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53,416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46,392</w:t>
            </w:r>
          </w:p>
        </w:tc>
        <w:tc>
          <w:tcPr>
            <w:tcW w:w="185"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real estate owned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345</w:t>
            </w:r>
          </w:p>
        </w:tc>
        <w:tc>
          <w:tcPr>
            <w:tcW w:w="185"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nonperforming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65,308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61,277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52,125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53,683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46,737</w:t>
            </w:r>
          </w:p>
        </w:tc>
        <w:tc>
          <w:tcPr>
            <w:tcW w:w="185"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Allowance for loan losses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140,500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138,600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138,000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139,000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140,200</w:t>
            </w:r>
          </w:p>
        </w:tc>
        <w:tc>
          <w:tcPr>
            <w:tcW w:w="185"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Asset quality ratios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Allowance for loan losses to total loans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1.18</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1.21</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nonperforming loans to total loans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0.55</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0.53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0.45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0.46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0.40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nonperforming assets to total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0.40</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0.33</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0.33</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0.29</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Allowance for loan losses to total nonperforming loans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215.13</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226.27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266.81</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260.22</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302.21</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60" w:type="dxa"/>
            <w:tcBorders/>
            <w:shd w:fill="CCEEFF" w:val="cle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Past due loans to total loans(4)</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0.63</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0.38</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0.38</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0.38</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60" w:type="dxa"/>
            <w:tcBorders>
              <w:bottom w:val="single" w:sz="12" w:space="0" w:color="000000"/>
            </w:tcBorders>
            <w:tcMar>
              <w:bottom w:w="28" w:type="dxa"/>
            </w:tcM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Net charge-offs to average loans(3)</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0.15</w:t>
            </w:r>
          </w:p>
        </w:tc>
        <w:tc>
          <w:tcPr>
            <w:tcW w:w="21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0.17</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0.16</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0.15</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0.09</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2425"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left"/>
              <w:rPr/>
            </w:pPr>
            <w:r>
              <w:rPr/>
              <w:t> </w:t>
            </w:r>
          </w:p>
        </w:tc>
        <w:tc>
          <w:tcPr>
            <w:tcW w:w="3715" w:type="dxa"/>
            <w:gridSpan w:val="10"/>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1st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4th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3rd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Loan net charge-offs by line of business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Commercial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1,217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2,285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1,232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1,047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97</w:t>
            </w:r>
          </w:p>
        </w:tc>
        <w:tc>
          <w:tcPr>
            <w:tcW w:w="185"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Residential mortgage and home equity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Indirect auto</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439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877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749</w:t>
            </w:r>
          </w:p>
        </w:tc>
        <w:tc>
          <w:tcPr>
            <w:tcW w:w="185" w:type="dxa"/>
            <w:tcBorders/>
            <w:shd w:fill="CCEEFF" w:val="clear"/>
            <w:vAlign w:val="bottom"/>
          </w:tcPr>
          <w:p>
            <w:pPr>
              <w:pStyle w:val="TableContents"/>
              <w:bidi w:val="0"/>
              <w:spacing w:before="0" w:after="283"/>
              <w:jc w:val="left"/>
              <w:rPr/>
            </w:pPr>
            <w:r>
              <w:rPr/>
              <w:t> </w:t>
            </w:r>
          </w:p>
        </w:tc>
      </w:tr>
      <w:tr>
        <w:trPr/>
        <w:tc>
          <w:tcPr>
            <w:tcW w:w="446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Residential solar and other consumer</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2,558</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1,955</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2,671</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2,556</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1,542</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460" w:type="dxa"/>
            <w:tcBorders>
              <w:bottom w:val="single" w:sz="12" w:space="0" w:color="000000"/>
            </w:tcBorders>
            <w:shd w:fill="CCEEFF" w:val="clear"/>
            <w:tcMar>
              <w:bottom w:w="28" w:type="dxa"/>
            </w:tcM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Total loan net charge-offs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4,236</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4,977</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4,765</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4,300</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2,361</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2425"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left"/>
              <w:rPr/>
            </w:pPr>
            <w:r>
              <w:rPr/>
              <w:t> </w:t>
            </w:r>
          </w:p>
        </w:tc>
        <w:tc>
          <w:tcPr>
            <w:tcW w:w="3715" w:type="dxa"/>
            <w:gridSpan w:val="10"/>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1st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4th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3rd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r>
      <w:tr>
        <w:trPr/>
        <w:tc>
          <w:tcPr>
            <w:tcW w:w="5595" w:type="dxa"/>
            <w:gridSpan w:val="4"/>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Allowance for loan losses as a percentage of loans by segment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Commercial &amp; industrial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0.85</w:t>
            </w:r>
          </w:p>
        </w:tc>
        <w:tc>
          <w:tcPr>
            <w:tcW w:w="2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0.89</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0.76</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0.81</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0.79</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Commercial real estate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1.06</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1.14</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Residential mortgage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0.99</w:t>
            </w:r>
          </w:p>
        </w:tc>
        <w:tc>
          <w:tcPr>
            <w:tcW w:w="2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0.99</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1.06</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Auto</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0.70</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0.70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0.68</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0.70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0.70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6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Residential solar and other consumer</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4.39</w:t>
            </w:r>
          </w:p>
        </w:tc>
        <w:tc>
          <w:tcPr>
            <w:tcW w:w="21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4.39</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4.09</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3.62</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3.64</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60" w:type="dxa"/>
            <w:tcBorders>
              <w:bottom w:val="single" w:sz="12" w:space="0" w:color="000000"/>
            </w:tcBorders>
            <w:tcMar>
              <w:bottom w:w="28" w:type="dxa"/>
            </w:tcM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Total</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1.18</w:t>
            </w:r>
          </w:p>
        </w:tc>
        <w:tc>
          <w:tcPr>
            <w:tcW w:w="21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1.20</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1.19</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1.20</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1.21</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2425"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left"/>
              <w:rPr/>
            </w:pPr>
            <w:r>
              <w:rPr/>
              <w:t> </w:t>
            </w:r>
          </w:p>
        </w:tc>
        <w:tc>
          <w:tcPr>
            <w:tcW w:w="3715" w:type="dxa"/>
            <w:gridSpan w:val="10"/>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1st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4th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3rd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Loans by line of business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Commercial &amp; industrial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1,755,123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1,669,624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1,671,974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1,644,218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1,692,335</w:t>
            </w:r>
          </w:p>
        </w:tc>
        <w:tc>
          <w:tcPr>
            <w:tcW w:w="185"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Commercial real estate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4,893,543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4,783,384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4,798,957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4,830,761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4,800,494</w:t>
            </w:r>
          </w:p>
        </w:tc>
        <w:tc>
          <w:tcPr>
            <w:tcW w:w="185"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Residential mortgage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2,558,338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2,539,249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2,537,593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2,528,565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2,530,344</w:t>
            </w:r>
          </w:p>
        </w:tc>
        <w:tc>
          <w:tcPr>
            <w:tcW w:w="185"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Home equity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465,340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447,462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448,113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435,584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423,355</w:t>
            </w:r>
          </w:p>
        </w:tc>
        <w:tc>
          <w:tcPr>
            <w:tcW w:w="185"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Indirect auto</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1,450,482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1,333,017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1,340,524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1,327,689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1,319,401</w:t>
            </w:r>
          </w:p>
        </w:tc>
        <w:tc>
          <w:tcPr>
            <w:tcW w:w="185" w:type="dxa"/>
            <w:tcBorders/>
            <w:shd w:fill="CCEEFF" w:val="clear"/>
            <w:vAlign w:val="bottom"/>
          </w:tcPr>
          <w:p>
            <w:pPr>
              <w:pStyle w:val="TableContents"/>
              <w:bidi w:val="0"/>
              <w:spacing w:before="0" w:after="283"/>
              <w:jc w:val="left"/>
              <w:rPr/>
            </w:pPr>
            <w:r>
              <w:rPr/>
              <w:t> </w:t>
            </w:r>
          </w:p>
        </w:tc>
      </w:tr>
      <w:tr>
        <w:trPr/>
        <w:tc>
          <w:tcPr>
            <w:tcW w:w="446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Residential solar and other consumer</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751,255</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774,519</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800,953</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828,317</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858,751</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460" w:type="dxa"/>
            <w:tcBorders>
              <w:bottom w:val="single" w:sz="12" w:space="0" w:color="000000"/>
            </w:tcBorders>
            <w:shd w:fill="CCEEFF" w:val="clear"/>
            <w:tcMar>
              <w:bottom w:w="28" w:type="dxa"/>
            </w:tcM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Total loans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11,874,081</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11,547,255</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11,598,114</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11,595,134</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11,624,680</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Normal"/>
        <w:bidi w:val="0"/>
        <w:spacing w:before="0" w:after="0"/>
        <w:jc w:val="left"/>
        <w:rPr>
          <w:sz w:val="4"/>
          <w:szCs w:val="4"/>
        </w:rPr>
      </w:pPr>
      <w:r>
        <w:rPr>
          <w:sz w:val="4"/>
          <w:szCs w:val="4"/>
        </w:rPr>
      </w:r>
      <w:bookmarkStart w:id="106" w:name="z99817f3810a64bb1abf7673b52e89adb"/>
      <w:bookmarkStart w:id="107" w:name="z99817f3810a64bb1abf7673b52e89adb"/>
      <w:bookmarkEnd w:id="107"/>
    </w:p>
    <w:tbl>
      <w:tblPr>
        <w:tblW w:w="8660" w:type="dxa"/>
        <w:jc w:val="left"/>
        <w:tblInd w:w="0" w:type="dxa"/>
        <w:tblLayout w:type="fixed"/>
        <w:tblCellMar>
          <w:top w:w="0" w:type="dxa"/>
          <w:left w:w="0" w:type="dxa"/>
          <w:bottom w:w="0" w:type="dxa"/>
          <w:right w:w="0" w:type="dxa"/>
        </w:tblCellMar>
      </w:tblPr>
      <w:tblGrid>
        <w:gridCol w:w="6170"/>
        <w:gridCol w:w="60"/>
        <w:gridCol w:w="125"/>
        <w:gridCol w:w="950"/>
        <w:gridCol w:w="60"/>
        <w:gridCol w:w="60"/>
        <w:gridCol w:w="136"/>
        <w:gridCol w:w="1039"/>
        <w:gridCol w:w="60"/>
      </w:tblGrid>
      <w:tr>
        <w:trPr/>
        <w:tc>
          <w:tcPr>
            <w:tcW w:w="617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NBT Bancorp Inc. and Subsidiaries</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6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Consolidated Balance Sheets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61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(unaudited, in thousands)</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6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6170"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tcBorders>
            <w:tcMar>
              <w:top w:w="28" w:type="dxa"/>
              <w:left w:w="28" w:type="dxa"/>
            </w:tcMar>
            <w:vAlign w:val="bottom"/>
          </w:tcPr>
          <w:p>
            <w:pPr>
              <w:pStyle w:val="TableContents"/>
              <w:bidi w:val="0"/>
              <w:spacing w:before="0" w:after="283"/>
              <w:jc w:val="left"/>
              <w:rPr/>
            </w:pPr>
            <w:r>
              <w:rPr/>
              <w:t> </w:t>
            </w:r>
          </w:p>
        </w:tc>
        <w:tc>
          <w:tcPr>
            <w:tcW w:w="1075" w:type="dxa"/>
            <w:gridSpan w:val="2"/>
            <w:tcBorders>
              <w:top w:val="single" w:sz="12" w:space="0" w:color="000000"/>
            </w:tcBorders>
            <w:tcMar>
              <w:top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60" w:type="dxa"/>
            <w:tcBorders>
              <w:top w:val="single" w:sz="12" w:space="0" w:color="000000"/>
              <w:right w:val="single" w:sz="12" w:space="0" w:color="000000"/>
            </w:tcBorders>
            <w:tcMar>
              <w:top w:w="28" w:type="dxa"/>
              <w:right w:w="28" w:type="dxa"/>
            </w:tcMar>
            <w:vAlign w:val="bottom"/>
          </w:tcPr>
          <w:p>
            <w:pPr>
              <w:pStyle w:val="TableContents"/>
              <w:bidi w:val="0"/>
              <w:spacing w:before="0" w:after="283"/>
              <w:jc w:val="left"/>
              <w:rPr/>
            </w:pPr>
            <w:r>
              <w:rPr/>
              <w:t> </w:t>
            </w:r>
          </w:p>
        </w:tc>
        <w:tc>
          <w:tcPr>
            <w:tcW w:w="60" w:type="dxa"/>
            <w:tcBorders>
              <w:top w:val="single" w:sz="12" w:space="0" w:color="000000"/>
            </w:tcBorders>
            <w:tcMar>
              <w:top w:w="28" w:type="dxa"/>
            </w:tcMar>
            <w:vAlign w:val="bottom"/>
          </w:tcPr>
          <w:p>
            <w:pPr>
              <w:pStyle w:val="TableContents"/>
              <w:bidi w:val="0"/>
              <w:spacing w:before="0" w:after="283"/>
              <w:jc w:val="left"/>
              <w:rPr/>
            </w:pPr>
            <w:r>
              <w:rPr/>
              <w:t> </w:t>
            </w:r>
          </w:p>
        </w:tc>
        <w:tc>
          <w:tcPr>
            <w:tcW w:w="1175" w:type="dxa"/>
            <w:gridSpan w:val="2"/>
            <w:tcBorders>
              <w:top w:val="single" w:sz="12" w:space="0" w:color="000000"/>
            </w:tcBorders>
            <w:tcMar>
              <w:top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60" w:type="dxa"/>
            <w:tcBorders>
              <w:top w:val="single" w:sz="12" w:space="0" w:color="000000"/>
              <w:right w:val="single" w:sz="12" w:space="0" w:color="000000"/>
            </w:tcBorders>
            <w:tcMar>
              <w:top w:w="28" w:type="dxa"/>
              <w:right w:w="28" w:type="dxa"/>
            </w:tcMar>
            <w:vAlign w:val="bottom"/>
          </w:tcPr>
          <w:p>
            <w:pPr>
              <w:pStyle w:val="TableContents"/>
              <w:bidi w:val="0"/>
              <w:spacing w:before="0" w:after="283"/>
              <w:jc w:val="left"/>
              <w:rPr/>
            </w:pPr>
            <w:r>
              <w:rPr/>
              <w:t> </w:t>
            </w:r>
          </w:p>
        </w:tc>
      </w:tr>
      <w:tr>
        <w:trPr/>
        <w:tc>
          <w:tcPr>
            <w:tcW w:w="6170" w:type="dxa"/>
            <w:tcBorders/>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r>
      <w:tr>
        <w:trPr/>
        <w:tc>
          <w:tcPr>
            <w:tcW w:w="6170"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Assets</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6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due from banks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187,164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185,158</w:t>
            </w:r>
          </w:p>
        </w:tc>
        <w:tc>
          <w:tcPr>
            <w:tcW w:w="60" w:type="dxa"/>
            <w:tcBorders/>
            <w:shd w:fill="CCEEFF" w:val="clear"/>
            <w:vAlign w:val="bottom"/>
          </w:tcPr>
          <w:p>
            <w:pPr>
              <w:pStyle w:val="TableContents"/>
              <w:bidi w:val="0"/>
              <w:spacing w:before="0" w:after="283"/>
              <w:jc w:val="left"/>
              <w:rPr/>
            </w:pPr>
            <w:r>
              <w:rPr/>
              <w:t> </w:t>
            </w:r>
          </w:p>
        </w:tc>
      </w:tr>
      <w:tr>
        <w:trPr/>
        <w:tc>
          <w:tcPr>
            <w:tcW w:w="61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Short-term interest-bearing accounts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107,489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301,958</w:t>
            </w:r>
          </w:p>
        </w:tc>
        <w:tc>
          <w:tcPr>
            <w:tcW w:w="60" w:type="dxa"/>
            <w:tcBorders/>
            <w:vAlign w:val="bottom"/>
          </w:tcPr>
          <w:p>
            <w:pPr>
              <w:pStyle w:val="TableContents"/>
              <w:bidi w:val="0"/>
              <w:spacing w:before="0" w:after="283"/>
              <w:jc w:val="left"/>
              <w:rPr/>
            </w:pPr>
            <w:r>
              <w:rPr/>
              <w:t> </w:t>
            </w:r>
          </w:p>
        </w:tc>
      </w:tr>
      <w:tr>
        <w:trPr/>
        <w:tc>
          <w:tcPr>
            <w:tcW w:w="6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 securities, at fair value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50,732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48,760</w:t>
            </w:r>
          </w:p>
        </w:tc>
        <w:tc>
          <w:tcPr>
            <w:tcW w:w="60" w:type="dxa"/>
            <w:tcBorders/>
            <w:shd w:fill="CCEEFF" w:val="clear"/>
            <w:vAlign w:val="bottom"/>
          </w:tcPr>
          <w:p>
            <w:pPr>
              <w:pStyle w:val="TableContents"/>
              <w:bidi w:val="0"/>
              <w:spacing w:before="0" w:after="283"/>
              <w:jc w:val="left"/>
              <w:rPr/>
            </w:pPr>
            <w:r>
              <w:rPr/>
              <w:t> </w:t>
            </w:r>
          </w:p>
        </w:tc>
      </w:tr>
      <w:tr>
        <w:trPr/>
        <w:tc>
          <w:tcPr>
            <w:tcW w:w="61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Securities available for sale, at fair value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2,006,206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1,862,838</w:t>
            </w:r>
          </w:p>
        </w:tc>
        <w:tc>
          <w:tcPr>
            <w:tcW w:w="60" w:type="dxa"/>
            <w:tcBorders/>
            <w:vAlign w:val="bottom"/>
          </w:tcPr>
          <w:p>
            <w:pPr>
              <w:pStyle w:val="TableContents"/>
              <w:bidi w:val="0"/>
              <w:spacing w:before="0" w:after="283"/>
              <w:jc w:val="left"/>
              <w:rPr/>
            </w:pPr>
            <w:r>
              <w:rPr/>
              <w:t> </w:t>
            </w:r>
          </w:p>
        </w:tc>
      </w:tr>
      <w:tr>
        <w:trPr/>
        <w:tc>
          <w:tcPr>
            <w:tcW w:w="6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Securities held to maturity (fair value $692,689 and $702,577, respectively)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755,086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762,756</w:t>
            </w:r>
          </w:p>
        </w:tc>
        <w:tc>
          <w:tcPr>
            <w:tcW w:w="60" w:type="dxa"/>
            <w:tcBorders/>
            <w:shd w:fill="CCEEFF" w:val="clear"/>
            <w:vAlign w:val="bottom"/>
          </w:tcPr>
          <w:p>
            <w:pPr>
              <w:pStyle w:val="TableContents"/>
              <w:bidi w:val="0"/>
              <w:spacing w:before="0" w:after="283"/>
              <w:jc w:val="left"/>
              <w:rPr/>
            </w:pPr>
            <w:r>
              <w:rPr/>
              <w:t> </w:t>
            </w:r>
          </w:p>
        </w:tc>
      </w:tr>
      <w:tr>
        <w:trPr/>
        <w:tc>
          <w:tcPr>
            <w:tcW w:w="61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Federal Reserve and Federal Home Loan Bank stock</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51,540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44,575</w:t>
            </w:r>
          </w:p>
        </w:tc>
        <w:tc>
          <w:tcPr>
            <w:tcW w:w="60" w:type="dxa"/>
            <w:tcBorders/>
            <w:vAlign w:val="bottom"/>
          </w:tcPr>
          <w:p>
            <w:pPr>
              <w:pStyle w:val="TableContents"/>
              <w:bidi w:val="0"/>
              <w:spacing w:before="0" w:after="283"/>
              <w:jc w:val="left"/>
              <w:rPr/>
            </w:pPr>
            <w:r>
              <w:rPr/>
              <w:t> </w:t>
            </w:r>
          </w:p>
        </w:tc>
      </w:tr>
      <w:tr>
        <w:trPr/>
        <w:tc>
          <w:tcPr>
            <w:tcW w:w="6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Loans held for sale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1,108</w:t>
            </w:r>
          </w:p>
        </w:tc>
        <w:tc>
          <w:tcPr>
            <w:tcW w:w="60" w:type="dxa"/>
            <w:tcBorders/>
            <w:shd w:fill="CCEEFF" w:val="clear"/>
            <w:vAlign w:val="bottom"/>
          </w:tcPr>
          <w:p>
            <w:pPr>
              <w:pStyle w:val="TableContents"/>
              <w:bidi w:val="0"/>
              <w:spacing w:before="0" w:after="283"/>
              <w:jc w:val="left"/>
              <w:rPr/>
            </w:pPr>
            <w:r>
              <w:rPr/>
              <w:t> </w:t>
            </w:r>
          </w:p>
        </w:tc>
      </w:tr>
      <w:tr>
        <w:trPr/>
        <w:tc>
          <w:tcPr>
            <w:tcW w:w="61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Loans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11,874,081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11,598,114</w:t>
            </w:r>
          </w:p>
        </w:tc>
        <w:tc>
          <w:tcPr>
            <w:tcW w:w="60" w:type="dxa"/>
            <w:tcBorders/>
            <w:vAlign w:val="bottom"/>
          </w:tcPr>
          <w:p>
            <w:pPr>
              <w:pStyle w:val="TableContents"/>
              <w:bidi w:val="0"/>
              <w:spacing w:before="0" w:after="283"/>
              <w:jc w:val="left"/>
              <w:rPr/>
            </w:pPr>
            <w:r>
              <w:rPr/>
              <w:t> </w:t>
            </w:r>
          </w:p>
        </w:tc>
      </w:tr>
      <w:tr>
        <w:trPr/>
        <w:tc>
          <w:tcPr>
            <w:tcW w:w="617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Less allowance for loan losses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140,500</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138,000</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617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loans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11,733,581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11,460,114</w:t>
            </w:r>
          </w:p>
        </w:tc>
        <w:tc>
          <w:tcPr>
            <w:tcW w:w="60" w:type="dxa"/>
            <w:tcBorders/>
            <w:vAlign w:val="bottom"/>
          </w:tcPr>
          <w:p>
            <w:pPr>
              <w:pStyle w:val="TableContents"/>
              <w:bidi w:val="0"/>
              <w:spacing w:before="0" w:after="283"/>
              <w:jc w:val="left"/>
              <w:rPr/>
            </w:pPr>
            <w:r>
              <w:rPr/>
              <w:t> </w:t>
            </w:r>
          </w:p>
        </w:tc>
      </w:tr>
      <w:tr>
        <w:trPr/>
        <w:tc>
          <w:tcPr>
            <w:tcW w:w="6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Premises and equipment,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98,119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99,277</w:t>
            </w:r>
          </w:p>
        </w:tc>
        <w:tc>
          <w:tcPr>
            <w:tcW w:w="60" w:type="dxa"/>
            <w:tcBorders/>
            <w:shd w:fill="CCEEFF" w:val="clear"/>
            <w:vAlign w:val="bottom"/>
          </w:tcPr>
          <w:p>
            <w:pPr>
              <w:pStyle w:val="TableContents"/>
              <w:bidi w:val="0"/>
              <w:spacing w:before="0" w:after="283"/>
              <w:jc w:val="left"/>
              <w:rPr/>
            </w:pPr>
            <w:r>
              <w:rPr/>
              <w:t> </w:t>
            </w:r>
          </w:p>
        </w:tc>
      </w:tr>
      <w:tr>
        <w:trPr/>
        <w:tc>
          <w:tcPr>
            <w:tcW w:w="61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453,278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453,278</w:t>
            </w:r>
          </w:p>
        </w:tc>
        <w:tc>
          <w:tcPr>
            <w:tcW w:w="60" w:type="dxa"/>
            <w:tcBorders/>
            <w:vAlign w:val="bottom"/>
          </w:tcPr>
          <w:p>
            <w:pPr>
              <w:pStyle w:val="TableContents"/>
              <w:bidi w:val="0"/>
              <w:spacing w:before="0" w:after="283"/>
              <w:jc w:val="left"/>
              <w:rPr/>
            </w:pPr>
            <w:r>
              <w:rPr/>
              <w:t> </w:t>
            </w:r>
          </w:p>
        </w:tc>
      </w:tr>
      <w:tr>
        <w:trPr/>
        <w:tc>
          <w:tcPr>
            <w:tcW w:w="6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51,117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57,656</w:t>
            </w:r>
          </w:p>
        </w:tc>
        <w:tc>
          <w:tcPr>
            <w:tcW w:w="60" w:type="dxa"/>
            <w:tcBorders/>
            <w:shd w:fill="CCEEFF" w:val="clear"/>
            <w:vAlign w:val="bottom"/>
          </w:tcPr>
          <w:p>
            <w:pPr>
              <w:pStyle w:val="TableContents"/>
              <w:bidi w:val="0"/>
              <w:spacing w:before="0" w:after="283"/>
              <w:jc w:val="left"/>
              <w:rPr/>
            </w:pPr>
            <w:r>
              <w:rPr/>
              <w:t> </w:t>
            </w:r>
          </w:p>
        </w:tc>
      </w:tr>
      <w:tr>
        <w:trPr/>
        <w:tc>
          <w:tcPr>
            <w:tcW w:w="61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Bank owned life insurance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314,806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317,733</w:t>
            </w:r>
          </w:p>
        </w:tc>
        <w:tc>
          <w:tcPr>
            <w:tcW w:w="60" w:type="dxa"/>
            <w:tcBorders/>
            <w:vAlign w:val="bottom"/>
          </w:tcPr>
          <w:p>
            <w:pPr>
              <w:pStyle w:val="TableContents"/>
              <w:bidi w:val="0"/>
              <w:spacing w:before="0" w:after="283"/>
              <w:jc w:val="left"/>
              <w:rPr/>
            </w:pPr>
            <w:r>
              <w:rPr/>
              <w:t> </w:t>
            </w:r>
          </w:p>
        </w:tc>
      </w:tr>
      <w:tr>
        <w:trPr/>
        <w:tc>
          <w:tcPr>
            <w:tcW w:w="6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405,839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399,910</w:t>
            </w:r>
          </w:p>
        </w:tc>
        <w:tc>
          <w:tcPr>
            <w:tcW w:w="60" w:type="dxa"/>
            <w:tcBorders/>
            <w:shd w:fill="CCEEFF" w:val="clear"/>
            <w:vAlign w:val="bottom"/>
          </w:tcPr>
          <w:p>
            <w:pPr>
              <w:pStyle w:val="TableContents"/>
              <w:bidi w:val="0"/>
              <w:spacing w:before="0" w:after="283"/>
              <w:jc w:val="left"/>
              <w:rPr/>
            </w:pPr>
            <w:r>
              <w:rPr/>
              <w:t> </w:t>
            </w:r>
          </w:p>
        </w:tc>
      </w:tr>
      <w:tr>
        <w:trPr/>
        <w:tc>
          <w:tcPr>
            <w:tcW w:w="6170" w:type="dxa"/>
            <w:tcBorders>
              <w:top w:val="single" w:sz="12" w:space="0" w:color="000000"/>
              <w:bottom w:val="single" w:sz="12" w:space="0" w:color="000000"/>
            </w:tcBorders>
            <w:tcMar>
              <w:top w:w="28" w:type="dxa"/>
              <w:bottom w:w="28" w:type="dxa"/>
            </w:tcMar>
            <w:vAlign w:val="bottom"/>
          </w:tcPr>
          <w:p>
            <w:pPr>
              <w:pStyle w:val="TableContents"/>
              <w:bidi w:val="0"/>
              <w:spacing w:before="0" w:after="0"/>
              <w:ind w:left="0" w:right="0" w:firstLine="201"/>
              <w:jc w:val="left"/>
              <w:rPr>
                <w:rFonts w:ascii="Times New Roman" w:hAnsi="Times New Roman"/>
                <w:b/>
                <w:color w:val="000000"/>
                <w:sz w:val="20"/>
              </w:rPr>
            </w:pPr>
            <w:r>
              <w:rPr>
                <w:rFonts w:ascii="Times New Roman" w:hAnsi="Times New Roman"/>
                <w:b/>
                <w:color w:val="000000"/>
                <w:sz w:val="20"/>
              </w:rPr>
              <w:t>Total assets</w:t>
            </w:r>
          </w:p>
        </w:tc>
        <w:tc>
          <w:tcPr>
            <w:tcW w:w="60"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left"/>
              <w:rPr/>
            </w:pPr>
            <w:r>
              <w:rPr/>
              <w:t> </w:t>
            </w:r>
          </w:p>
        </w:tc>
        <w:tc>
          <w:tcPr>
            <w:tcW w:w="125" w:type="dxa"/>
            <w:tcBorders>
              <w:top w:val="single" w:sz="12" w:space="0" w:color="000000"/>
              <w:bottom w:val="single" w:sz="12" w:space="0" w:color="000000"/>
            </w:tcBorders>
            <w:tcMar>
              <w:top w:w="28" w:type="dxa"/>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top w:val="single" w:sz="12" w:space="0" w:color="000000"/>
              <w:bottom w:val="single" w:sz="12" w:space="0" w:color="000000"/>
            </w:tcBorders>
            <w:tcMar>
              <w:top w:w="28" w:type="dxa"/>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16,214,957</w:t>
            </w:r>
          </w:p>
        </w:tc>
        <w:tc>
          <w:tcPr>
            <w:tcW w:w="60"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left"/>
              <w:rPr/>
            </w:pPr>
            <w:r>
              <w:rPr/>
              <w:t> </w:t>
            </w:r>
          </w:p>
        </w:tc>
        <w:tc>
          <w:tcPr>
            <w:tcW w:w="136" w:type="dxa"/>
            <w:tcBorders>
              <w:top w:val="single" w:sz="12" w:space="0" w:color="000000"/>
              <w:bottom w:val="single" w:sz="12" w:space="0" w:color="000000"/>
            </w:tcBorders>
            <w:tcMar>
              <w:top w:w="28" w:type="dxa"/>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9" w:type="dxa"/>
            <w:tcBorders>
              <w:top w:val="single" w:sz="12" w:space="0" w:color="000000"/>
              <w:bottom w:val="single" w:sz="12" w:space="0" w:color="000000"/>
            </w:tcBorders>
            <w:tcMar>
              <w:top w:w="28" w:type="dxa"/>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15,995,121</w:t>
            </w:r>
          </w:p>
        </w:tc>
        <w:tc>
          <w:tcPr>
            <w:tcW w:w="60"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left"/>
              <w:rPr/>
            </w:pPr>
            <w:r>
              <w:rPr/>
              <w:t> </w:t>
            </w:r>
          </w:p>
        </w:tc>
      </w:tr>
      <w:tr>
        <w:trPr/>
        <w:tc>
          <w:tcPr>
            <w:tcW w:w="6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6170"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Liabilities and stockholders’ equity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6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Demand (noninterest bearing)</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3,861,366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3,800,209</w:t>
            </w:r>
          </w:p>
        </w:tc>
        <w:tc>
          <w:tcPr>
            <w:tcW w:w="60" w:type="dxa"/>
            <w:tcBorders/>
            <w:shd w:fill="CCEEFF" w:val="clear"/>
            <w:vAlign w:val="bottom"/>
          </w:tcPr>
          <w:p>
            <w:pPr>
              <w:pStyle w:val="TableContents"/>
              <w:bidi w:val="0"/>
              <w:spacing w:before="0" w:after="283"/>
              <w:jc w:val="left"/>
              <w:rPr/>
            </w:pPr>
            <w:r>
              <w:rPr/>
              <w:t> </w:t>
            </w:r>
          </w:p>
        </w:tc>
      </w:tr>
      <w:tr>
        <w:trPr/>
        <w:tc>
          <w:tcPr>
            <w:tcW w:w="61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Savings, interest-bearing checking and money market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8,347,052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8,206,539</w:t>
            </w:r>
          </w:p>
        </w:tc>
        <w:tc>
          <w:tcPr>
            <w:tcW w:w="60" w:type="dxa"/>
            <w:tcBorders/>
            <w:vAlign w:val="bottom"/>
          </w:tcPr>
          <w:p>
            <w:pPr>
              <w:pStyle w:val="TableContents"/>
              <w:bidi w:val="0"/>
              <w:spacing w:before="0" w:after="283"/>
              <w:jc w:val="left"/>
              <w:rPr/>
            </w:pPr>
            <w:r>
              <w:rPr/>
              <w:t> </w:t>
            </w:r>
          </w:p>
        </w:tc>
      </w:tr>
      <w:tr>
        <w:trPr/>
        <w:tc>
          <w:tcPr>
            <w:tcW w:w="617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Time</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1,328,884</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1,492,445</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617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Total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13,537,302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13,499,193</w:t>
            </w:r>
          </w:p>
        </w:tc>
        <w:tc>
          <w:tcPr>
            <w:tcW w:w="60" w:type="dxa"/>
            <w:tcBorders/>
            <w:vAlign w:val="bottom"/>
          </w:tcPr>
          <w:p>
            <w:pPr>
              <w:pStyle w:val="TableContents"/>
              <w:bidi w:val="0"/>
              <w:spacing w:before="0" w:after="283"/>
              <w:jc w:val="left"/>
              <w:rPr/>
            </w:pPr>
            <w:r>
              <w:rPr/>
              <w:t> </w:t>
            </w:r>
          </w:p>
        </w:tc>
      </w:tr>
      <w:tr>
        <w:trPr/>
        <w:tc>
          <w:tcPr>
            <w:tcW w:w="6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Short-term borrowings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316,438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148,069</w:t>
            </w:r>
          </w:p>
        </w:tc>
        <w:tc>
          <w:tcPr>
            <w:tcW w:w="60" w:type="dxa"/>
            <w:tcBorders/>
            <w:shd w:fill="CCEEFF" w:val="clear"/>
            <w:vAlign w:val="bottom"/>
          </w:tcPr>
          <w:p>
            <w:pPr>
              <w:pStyle w:val="TableContents"/>
              <w:bidi w:val="0"/>
              <w:spacing w:before="0" w:after="283"/>
              <w:jc w:val="left"/>
              <w:rPr/>
            </w:pPr>
            <w:r>
              <w:rPr/>
              <w:t> </w:t>
            </w:r>
          </w:p>
        </w:tc>
      </w:tr>
      <w:tr>
        <w:trPr/>
        <w:tc>
          <w:tcPr>
            <w:tcW w:w="61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43,043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43,176</w:t>
            </w:r>
          </w:p>
        </w:tc>
        <w:tc>
          <w:tcPr>
            <w:tcW w:w="60" w:type="dxa"/>
            <w:tcBorders/>
            <w:vAlign w:val="bottom"/>
          </w:tcPr>
          <w:p>
            <w:pPr>
              <w:pStyle w:val="TableContents"/>
              <w:bidi w:val="0"/>
              <w:spacing w:before="0" w:after="283"/>
              <w:jc w:val="left"/>
              <w:rPr/>
            </w:pPr>
            <w:r>
              <w:rPr/>
              <w:t> </w:t>
            </w:r>
          </w:p>
        </w:tc>
      </w:tr>
      <w:tr>
        <w:trPr/>
        <w:tc>
          <w:tcPr>
            <w:tcW w:w="6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Subordinated debt,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24,509</w:t>
            </w:r>
          </w:p>
        </w:tc>
        <w:tc>
          <w:tcPr>
            <w:tcW w:w="60" w:type="dxa"/>
            <w:tcBorders/>
            <w:shd w:fill="CCEEFF" w:val="clear"/>
            <w:vAlign w:val="bottom"/>
          </w:tcPr>
          <w:p>
            <w:pPr>
              <w:pStyle w:val="TableContents"/>
              <w:bidi w:val="0"/>
              <w:spacing w:before="0" w:after="283"/>
              <w:jc w:val="left"/>
              <w:rPr/>
            </w:pPr>
            <w:r>
              <w:rPr/>
              <w:t> </w:t>
            </w:r>
          </w:p>
        </w:tc>
      </w:tr>
      <w:tr>
        <w:trPr/>
        <w:tc>
          <w:tcPr>
            <w:tcW w:w="61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Junior subordinated debt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111,714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111,668</w:t>
            </w:r>
          </w:p>
        </w:tc>
        <w:tc>
          <w:tcPr>
            <w:tcW w:w="60" w:type="dxa"/>
            <w:tcBorders/>
            <w:vAlign w:val="bottom"/>
          </w:tcPr>
          <w:p>
            <w:pPr>
              <w:pStyle w:val="TableContents"/>
              <w:bidi w:val="0"/>
              <w:spacing w:before="0" w:after="283"/>
              <w:jc w:val="left"/>
              <w:rPr/>
            </w:pPr>
            <w:r>
              <w:rPr/>
              <w:t> </w:t>
            </w:r>
          </w:p>
        </w:tc>
      </w:tr>
      <w:tr>
        <w:trPr/>
        <w:tc>
          <w:tcPr>
            <w:tcW w:w="617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262,541</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272,290</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617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Total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14,271,038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14,098,905</w:t>
            </w:r>
          </w:p>
        </w:tc>
        <w:tc>
          <w:tcPr>
            <w:tcW w:w="60" w:type="dxa"/>
            <w:tcBorders/>
            <w:vAlign w:val="bottom"/>
          </w:tcPr>
          <w:p>
            <w:pPr>
              <w:pStyle w:val="TableContents"/>
              <w:bidi w:val="0"/>
              <w:spacing w:before="0" w:after="283"/>
              <w:jc w:val="left"/>
              <w:rPr/>
            </w:pPr>
            <w:r>
              <w:rPr/>
              <w:t> </w:t>
            </w:r>
          </w:p>
        </w:tc>
      </w:tr>
      <w:tr>
        <w:trPr/>
        <w:tc>
          <w:tcPr>
            <w:tcW w:w="6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6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1,943,919</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6"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1,896,216</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6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6170" w:type="dxa"/>
            <w:tcBorders>
              <w:bottom w:val="single" w:sz="12" w:space="0" w:color="000000"/>
            </w:tcBorders>
            <w:tcMar>
              <w:bottom w:w="28" w:type="dxa"/>
            </w:tcMar>
            <w:vAlign w:val="bottom"/>
          </w:tcPr>
          <w:p>
            <w:pPr>
              <w:pStyle w:val="TableContents"/>
              <w:bidi w:val="0"/>
              <w:spacing w:before="0" w:after="0"/>
              <w:ind w:left="0" w:right="0" w:firstLine="201"/>
              <w:jc w:val="left"/>
              <w:rPr>
                <w:rFonts w:ascii="Times New Roman" w:hAnsi="Times New Roman"/>
                <w:b/>
                <w:sz w:val="20"/>
              </w:rPr>
            </w:pPr>
            <w:r>
              <w:rPr>
                <w:rFonts w:ascii="Times New Roman" w:hAnsi="Times New Roman"/>
                <w:b/>
                <w:sz w:val="20"/>
              </w:rPr>
              <w:t>Total liabilities and stockholders’ equity</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16,214,957</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6"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15,995,121</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Normal"/>
        <w:bidi w:val="0"/>
        <w:spacing w:before="0" w:after="0"/>
        <w:jc w:val="left"/>
        <w:rPr>
          <w:sz w:val="4"/>
          <w:szCs w:val="4"/>
        </w:rPr>
      </w:pPr>
      <w:r>
        <w:rPr>
          <w:sz w:val="4"/>
          <w:szCs w:val="4"/>
        </w:rPr>
      </w:r>
      <w:bookmarkStart w:id="108" w:name="z245799ff85264cdd9732639c973d377c"/>
      <w:bookmarkStart w:id="109" w:name="z245799ff85264cdd9732639c973d377c"/>
      <w:bookmarkEnd w:id="109"/>
    </w:p>
    <w:tbl>
      <w:tblPr>
        <w:tblW w:w="8165" w:type="dxa"/>
        <w:jc w:val="left"/>
        <w:tblInd w:w="0" w:type="dxa"/>
        <w:tblLayout w:type="fixed"/>
        <w:tblCellMar>
          <w:top w:w="0" w:type="dxa"/>
          <w:left w:w="0" w:type="dxa"/>
          <w:bottom w:w="0" w:type="dxa"/>
          <w:right w:w="0" w:type="dxa"/>
        </w:tblCellMar>
      </w:tblPr>
      <w:tblGrid>
        <w:gridCol w:w="4355"/>
        <w:gridCol w:w="60"/>
        <w:gridCol w:w="127"/>
        <w:gridCol w:w="706"/>
        <w:gridCol w:w="61"/>
        <w:gridCol w:w="61"/>
        <w:gridCol w:w="127"/>
        <w:gridCol w:w="708"/>
        <w:gridCol w:w="60"/>
        <w:gridCol w:w="60"/>
        <w:gridCol w:w="125"/>
        <w:gridCol w:w="695"/>
        <w:gridCol w:w="80"/>
        <w:gridCol w:w="60"/>
        <w:gridCol w:w="125"/>
        <w:gridCol w:w="695"/>
        <w:gridCol w:w="60"/>
      </w:tblGrid>
      <w:tr>
        <w:trPr/>
        <w:tc>
          <w:tcPr>
            <w:tcW w:w="435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NBT Bancorp Inc. and Subsidiaries</w:t>
            </w:r>
          </w:p>
        </w:tc>
        <w:tc>
          <w:tcPr>
            <w:tcW w:w="60" w:type="dxa"/>
            <w:tcBorders/>
            <w:vAlign w:val="bottom"/>
          </w:tcPr>
          <w:p>
            <w:pPr>
              <w:pStyle w:val="TableContents"/>
              <w:bidi w:val="0"/>
              <w:spacing w:before="0" w:after="283"/>
              <w:jc w:val="left"/>
              <w:rPr/>
            </w:pPr>
            <w:r>
              <w:rPr/>
              <w:t> </w:t>
            </w:r>
          </w:p>
        </w:tc>
        <w:tc>
          <w:tcPr>
            <w:tcW w:w="833" w:type="dxa"/>
            <w:gridSpan w:val="2"/>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435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Consolidated Statements of Income</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(unaudited, in thousands except per share data)</w:t>
            </w:r>
          </w:p>
        </w:tc>
        <w:tc>
          <w:tcPr>
            <w:tcW w:w="60" w:type="dxa"/>
            <w:tcBorders/>
            <w:vAlign w:val="bottom"/>
          </w:tcPr>
          <w:p>
            <w:pPr>
              <w:pStyle w:val="TableContents"/>
              <w:bidi w:val="0"/>
              <w:spacing w:before="0" w:after="283"/>
              <w:jc w:val="left"/>
              <w:rPr/>
            </w:pPr>
            <w:r>
              <w:rPr/>
              <w:t> </w:t>
            </w:r>
          </w:p>
        </w:tc>
        <w:tc>
          <w:tcPr>
            <w:tcW w:w="833" w:type="dxa"/>
            <w:gridSpan w:val="2"/>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gridSpan w:val="2"/>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tcBorders>
            <w:tcMar>
              <w:top w:w="28" w:type="dxa"/>
              <w:left w:w="28" w:type="dxa"/>
            </w:tcMar>
            <w:vAlign w:val="bottom"/>
          </w:tcPr>
          <w:p>
            <w:pPr>
              <w:pStyle w:val="TableContents"/>
              <w:bidi w:val="0"/>
              <w:spacing w:before="0" w:after="283"/>
              <w:jc w:val="left"/>
              <w:rPr/>
            </w:pPr>
            <w:r>
              <w:rPr/>
              <w:t> </w:t>
            </w:r>
          </w:p>
        </w:tc>
        <w:tc>
          <w:tcPr>
            <w:tcW w:w="1790" w:type="dxa"/>
            <w:gridSpan w:val="6"/>
            <w:tcBorders>
              <w:top w:val="single" w:sz="12" w:space="0" w:color="000000"/>
            </w:tcBorders>
            <w:tcMar>
              <w:top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60" w:type="dxa"/>
            <w:tcBorders>
              <w:top w:val="single" w:sz="12" w:space="0" w:color="000000"/>
              <w:right w:val="single" w:sz="12" w:space="0" w:color="000000"/>
            </w:tcBorders>
            <w:tcMar>
              <w:top w:w="28" w:type="dxa"/>
              <w:right w:w="28" w:type="dxa"/>
            </w:tcMar>
            <w:vAlign w:val="bottom"/>
          </w:tcPr>
          <w:p>
            <w:pPr>
              <w:pStyle w:val="TableContents"/>
              <w:bidi w:val="0"/>
              <w:spacing w:before="0" w:after="283"/>
              <w:jc w:val="left"/>
              <w:rPr/>
            </w:pPr>
            <w:r>
              <w:rPr/>
              <w:t> </w:t>
            </w:r>
          </w:p>
        </w:tc>
        <w:tc>
          <w:tcPr>
            <w:tcW w:w="60" w:type="dxa"/>
            <w:tcBorders>
              <w:top w:val="single" w:sz="12" w:space="0" w:color="000000"/>
            </w:tcBorders>
            <w:tcMar>
              <w:top w:w="28" w:type="dxa"/>
            </w:tcMar>
            <w:vAlign w:val="bottom"/>
          </w:tcPr>
          <w:p>
            <w:pPr>
              <w:pStyle w:val="TableContents"/>
              <w:bidi w:val="0"/>
              <w:spacing w:before="0" w:after="283"/>
              <w:jc w:val="left"/>
              <w:rPr/>
            </w:pPr>
            <w:r>
              <w:rPr/>
              <w:t> </w:t>
            </w:r>
          </w:p>
        </w:tc>
        <w:tc>
          <w:tcPr>
            <w:tcW w:w="1780" w:type="dxa"/>
            <w:gridSpan w:val="6"/>
            <w:tcBorders>
              <w:top w:val="single" w:sz="12" w:space="0" w:color="000000"/>
            </w:tcBorders>
            <w:tcMar>
              <w:top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tc>
        <w:tc>
          <w:tcPr>
            <w:tcW w:w="60" w:type="dxa"/>
            <w:tcBorders>
              <w:top w:val="single" w:sz="12" w:space="0" w:color="000000"/>
              <w:right w:val="single" w:sz="12" w:space="0" w:color="000000"/>
            </w:tcBorders>
            <w:tcMar>
              <w:top w:w="28" w:type="dxa"/>
              <w:right w:w="28" w:type="dxa"/>
            </w:tcM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283"/>
              <w:jc w:val="left"/>
              <w:rPr/>
            </w:pPr>
            <w:r>
              <w:rPr/>
              <w:t> </w:t>
            </w:r>
          </w:p>
        </w:tc>
        <w:tc>
          <w:tcPr>
            <w:tcW w:w="60" w:type="dxa"/>
            <w:tcBorders>
              <w:left w:val="single" w:sz="12" w:space="0" w:color="000000"/>
            </w:tcBorders>
            <w:tcMar>
              <w:left w:w="28" w:type="dxa"/>
            </w:tcMar>
            <w:vAlign w:val="bottom"/>
          </w:tcPr>
          <w:p>
            <w:pPr>
              <w:pStyle w:val="TableContents"/>
              <w:bidi w:val="0"/>
              <w:spacing w:before="0" w:after="283"/>
              <w:jc w:val="left"/>
              <w:rPr/>
            </w:pPr>
            <w:r>
              <w:rPr/>
              <w:t> </w:t>
            </w:r>
          </w:p>
        </w:tc>
        <w:tc>
          <w:tcPr>
            <w:tcW w:w="1790"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60"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60" w:type="dxa"/>
            <w:tcBorders>
              <w:right w:val="single" w:sz="12" w:space="0" w:color="000000"/>
            </w:tcBorders>
            <w:tcMar>
              <w:right w:w="28" w:type="dxa"/>
            </w:tcM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83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Interest, fee and dividend income</w:t>
            </w:r>
          </w:p>
        </w:tc>
        <w:tc>
          <w:tcPr>
            <w:tcW w:w="60" w:type="dxa"/>
            <w:tcBorders/>
            <w:vAlign w:val="bottom"/>
          </w:tcPr>
          <w:p>
            <w:pPr>
              <w:pStyle w:val="TableContents"/>
              <w:bidi w:val="0"/>
              <w:spacing w:before="0" w:after="283"/>
              <w:jc w:val="left"/>
              <w:rPr/>
            </w:pPr>
            <w:r>
              <w:rPr/>
              <w:t> </w:t>
            </w:r>
          </w:p>
        </w:tc>
        <w:tc>
          <w:tcPr>
            <w:tcW w:w="833" w:type="dxa"/>
            <w:gridSpan w:val="2"/>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and fees on loans</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0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163,764</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158,912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324,866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296,964</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Securities available for sale</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14,770</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11,609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28,252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21,871</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Securities held to maturity</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4,426</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8,776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9,784</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2,801</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2,186</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6,513</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3,362</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355" w:type="dxa"/>
            <w:tcBorders>
              <w:bottom w:val="single" w:sz="12" w:space="0" w:color="000000"/>
            </w:tcBorders>
            <w:shd w:fill="CCEEFF" w:val="clear"/>
            <w:tcMar>
              <w:bottom w:w="28" w:type="dxa"/>
            </w:tcM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Total interest, fee and dividend income</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0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185,761</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177,577</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368,407</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331,981</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Interest expense</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0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44,879</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48,219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89,714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90,807</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Short-term borrowings</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1,165</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1,987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1,912</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445</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886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562</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Subordinated debt</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611</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3,823</w:t>
            </w:r>
          </w:p>
        </w:tc>
        <w:tc>
          <w:tcPr>
            <w:tcW w:w="60" w:type="dxa"/>
            <w:tcBorders/>
            <w:vAlign w:val="bottom"/>
          </w:tcPr>
          <w:p>
            <w:pPr>
              <w:pStyle w:val="TableContents"/>
              <w:bidi w:val="0"/>
              <w:spacing w:before="0" w:after="283"/>
              <w:jc w:val="left"/>
              <w:rPr/>
            </w:pPr>
            <w:r>
              <w:rPr/>
              <w:t> </w:t>
            </w:r>
          </w:p>
        </w:tc>
      </w:tr>
      <w:tr>
        <w:trPr/>
        <w:tc>
          <w:tcPr>
            <w:tcW w:w="43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Junior subordinated debt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1,698</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1,795</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3,388</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3,434</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4355" w:type="dxa"/>
            <w:tcBorders>
              <w:bottom w:val="single" w:sz="12" w:space="0" w:color="000000"/>
            </w:tcBorders>
            <w:tcMar>
              <w:bottom w:w="28" w:type="dxa"/>
            </w:tcM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Total interest expense</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0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48,798</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53,357</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97,096</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100,538</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interest income</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0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136,963</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124,220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271,311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231,443</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Provision for loan losses</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0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6,136</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11,713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12,367</w:t>
            </w:r>
          </w:p>
        </w:tc>
        <w:tc>
          <w:tcPr>
            <w:tcW w:w="60" w:type="dxa"/>
            <w:tcBorders/>
            <w:vAlign w:val="bottom"/>
          </w:tcPr>
          <w:p>
            <w:pPr>
              <w:pStyle w:val="TableContents"/>
              <w:bidi w:val="0"/>
              <w:spacing w:before="0" w:after="283"/>
              <w:jc w:val="left"/>
              <w:rPr/>
            </w:pPr>
            <w:r>
              <w:rPr/>
              <w:t> </w:t>
            </w:r>
          </w:p>
        </w:tc>
      </w:tr>
      <w:tr>
        <w:trPr/>
        <w:tc>
          <w:tcPr>
            <w:tcW w:w="43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Provision for loan losses - acquisition day 1 non-PCD</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13,022</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13,022</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435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Total provision for loan losses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0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6,136</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17,835</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11,713</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25,389</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355" w:type="dxa"/>
            <w:tcBorders>
              <w:bottom w:val="single" w:sz="12" w:space="0" w:color="000000"/>
            </w:tcBorders>
            <w:shd w:fill="CCEEFF" w:val="clear"/>
            <w:tcMar>
              <w:bottom w:w="28" w:type="dxa"/>
            </w:tcM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interest income after provision for loan losses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0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130,827</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106,385</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259,598</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206,054</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Noninterest income</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Service charges on deposit accounts</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0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5,194</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10,462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8,821</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Card services income</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6,613</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12,641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11,394</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Retirement plan administration fees</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16,928</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15,710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33,494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31,568</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Wealth management</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10,948</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10,678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22,082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21,624</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Insurance services</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4,177</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8,659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8,858</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Bank owned life insurance income</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2,505</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5,164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5,577</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securities gains</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175</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3,187</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3,500</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6,744</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6,534</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355" w:type="dxa"/>
            <w:tcBorders>
              <w:bottom w:val="single" w:sz="12" w:space="0" w:color="000000"/>
            </w:tcBorders>
            <w:shd w:fill="CCEEFF" w:val="clear"/>
            <w:tcMar>
              <w:bottom w:w="28" w:type="dxa"/>
            </w:tcM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Total noninterest income</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0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49,727</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46,932</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99,863</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94,384</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Noninterest expense</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Salaries and employee benefits</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0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69,004</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64,155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137,763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124,849</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Technology and data services</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11,850</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10,804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23,360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21,042</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Occupancy</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9,475</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9,038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20,485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18,065</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Professional fees and outside services</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5,662</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11,216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9,973</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3,191</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6,539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5,153</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Reserve for unfunded loan commitments</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(300</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1,792</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Acquisition expenses</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17,180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18,401</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12,256</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11,668</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24,607</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23,235</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355" w:type="dxa"/>
            <w:tcBorders>
              <w:bottom w:val="single" w:sz="12" w:space="0" w:color="000000"/>
            </w:tcBorders>
            <w:shd w:fill="CCEEFF" w:val="clear"/>
            <w:tcMar>
              <w:bottom w:w="28" w:type="dxa"/>
            </w:tcM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Total noninterest expense</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0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111,438</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122,610</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223,670</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222,510</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Income before income tax expense</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0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69,116</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30,707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135,791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77,928</w:t>
            </w:r>
          </w:p>
        </w:tc>
        <w:tc>
          <w:tcPr>
            <w:tcW w:w="60" w:type="dxa"/>
            <w:tcBorders/>
            <w:vAlign w:val="bottom"/>
          </w:tcPr>
          <w:p>
            <w:pPr>
              <w:pStyle w:val="TableContents"/>
              <w:bidi w:val="0"/>
              <w:spacing w:before="0" w:after="283"/>
              <w:jc w:val="left"/>
              <w:rPr/>
            </w:pPr>
            <w:r>
              <w:rPr/>
              <w:t> </w:t>
            </w:r>
          </w:p>
        </w:tc>
      </w:tr>
      <w:tr>
        <w:trPr/>
        <w:tc>
          <w:tcPr>
            <w:tcW w:w="43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16,086</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8,197</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31,619</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18,673</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4355" w:type="dxa"/>
            <w:tcBorders>
              <w:bottom w:val="single" w:sz="12" w:space="0" w:color="000000"/>
            </w:tcBorders>
            <w:tcMar>
              <w:bottom w:w="28" w:type="dxa"/>
            </w:tcMar>
            <w:vAlign w:val="bottom"/>
          </w:tcPr>
          <w:p>
            <w:pPr>
              <w:pStyle w:val="TableContents"/>
              <w:bidi w:val="0"/>
              <w:spacing w:before="0" w:after="0"/>
              <w:ind w:left="180" w:right="0" w:hanging="0"/>
              <w:jc w:val="left"/>
              <w:rPr>
                <w:rFonts w:ascii="Times New Roman" w:hAnsi="Times New Roman"/>
                <w:b/>
                <w:sz w:val="20"/>
              </w:rPr>
            </w:pPr>
            <w:r>
              <w:rPr>
                <w:rFonts w:ascii="Times New Roman" w:hAnsi="Times New Roman"/>
                <w:b/>
                <w:sz w:val="20"/>
              </w:rPr>
              <w:t>Net income</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0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53,030</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22,510</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104,172</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59,255</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b/>
                <w:i/>
                <w:sz w:val="20"/>
              </w:rPr>
            </w:pPr>
            <w:r>
              <w:rPr>
                <w:rFonts w:ascii="Times New Roman" w:hAnsi="Times New Roman"/>
                <w:b/>
                <w:i/>
                <w:sz w:val="20"/>
              </w:rPr>
              <w:t>Earnings Per Share</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0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1.02</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1.21</w:t>
            </w:r>
          </w:p>
        </w:tc>
        <w:tc>
          <w:tcPr>
            <w:tcW w:w="60" w:type="dxa"/>
            <w:tcBorders/>
            <w:vAlign w:val="bottom"/>
          </w:tcPr>
          <w:p>
            <w:pPr>
              <w:pStyle w:val="TableContents"/>
              <w:bidi w:val="0"/>
              <w:spacing w:before="0" w:after="283"/>
              <w:jc w:val="left"/>
              <w:rPr/>
            </w:pPr>
            <w:r>
              <w:rPr/>
              <w:t> </w:t>
            </w:r>
          </w:p>
        </w:tc>
      </w:tr>
      <w:tr>
        <w:trPr/>
        <w:tc>
          <w:tcPr>
            <w:tcW w:w="43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0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1.02</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0.44</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1.99</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1.21</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Normal"/>
        <w:bidi w:val="0"/>
        <w:spacing w:before="0" w:after="0"/>
        <w:jc w:val="left"/>
        <w:rPr>
          <w:sz w:val="4"/>
          <w:szCs w:val="4"/>
        </w:rPr>
      </w:pPr>
      <w:r>
        <w:rPr>
          <w:sz w:val="4"/>
          <w:szCs w:val="4"/>
        </w:rPr>
      </w:r>
      <w:bookmarkStart w:id="110" w:name="z0f4755fdd5c94cc39f464301caa38db3"/>
      <w:bookmarkStart w:id="111" w:name="z0f4755fdd5c94cc39f464301caa38db3"/>
      <w:bookmarkEnd w:id="111"/>
    </w:p>
    <w:tbl>
      <w:tblPr>
        <w:tblW w:w="9115" w:type="dxa"/>
        <w:jc w:val="left"/>
        <w:tblInd w:w="0" w:type="dxa"/>
        <w:tblLayout w:type="fixed"/>
        <w:tblCellMar>
          <w:top w:w="0" w:type="dxa"/>
          <w:left w:w="0" w:type="dxa"/>
          <w:bottom w:w="0" w:type="dxa"/>
          <w:right w:w="0" w:type="dxa"/>
        </w:tblCellMar>
      </w:tblPr>
      <w:tblGrid>
        <w:gridCol w:w="4355"/>
        <w:gridCol w:w="60"/>
        <w:gridCol w:w="125"/>
        <w:gridCol w:w="695"/>
        <w:gridCol w:w="60"/>
        <w:gridCol w:w="60"/>
        <w:gridCol w:w="125"/>
        <w:gridCol w:w="695"/>
        <w:gridCol w:w="80"/>
        <w:gridCol w:w="60"/>
        <w:gridCol w:w="125"/>
        <w:gridCol w:w="695"/>
        <w:gridCol w:w="80"/>
        <w:gridCol w:w="60"/>
        <w:gridCol w:w="125"/>
        <w:gridCol w:w="695"/>
        <w:gridCol w:w="80"/>
        <w:gridCol w:w="60"/>
        <w:gridCol w:w="125"/>
        <w:gridCol w:w="695"/>
        <w:gridCol w:w="60"/>
      </w:tblGrid>
      <w:tr>
        <w:trPr/>
        <w:tc>
          <w:tcPr>
            <w:tcW w:w="4355" w:type="dxa"/>
            <w:tcBorders/>
            <w:vAlign w:val="bottom"/>
          </w:tcPr>
          <w:p>
            <w:pPr>
              <w:pStyle w:val="TableContents"/>
              <w:bidi w:val="0"/>
              <w:spacing w:before="0" w:after="0"/>
              <w:jc w:val="left"/>
              <w:rPr>
                <w:rFonts w:ascii="Times New Roman" w:hAnsi="Times New Roman"/>
                <w:b/>
                <w:sz w:val="20"/>
              </w:rPr>
            </w:pPr>
            <w:bookmarkStart w:id="112" w:name="RANGEA1%3AG50"/>
            <w:bookmarkEnd w:id="112"/>
            <w:r>
              <w:rPr>
                <w:rFonts w:ascii="Times New Roman" w:hAnsi="Times New Roman"/>
                <w:b/>
                <w:sz w:val="20"/>
              </w:rPr>
              <w:t>NBT Bancorp Inc. and Subsidiaries</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435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Quarterly Consolidated Statements of Income</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(unaudited, in thousands except per share data)</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1760"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0"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left"/>
              <w:rPr/>
            </w:pPr>
            <w:r>
              <w:rPr/>
              <w:t> </w:t>
            </w:r>
          </w:p>
        </w:tc>
        <w:tc>
          <w:tcPr>
            <w:tcW w:w="2740" w:type="dxa"/>
            <w:gridSpan w:val="10"/>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1st Q</w:t>
            </w:r>
          </w:p>
        </w:tc>
        <w:tc>
          <w:tcPr>
            <w:tcW w:w="80"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4th Q</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3rd Q</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60"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Interest, fee and dividend income</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and fees on loans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163,764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161,102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166,046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169,301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158,912</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Securities available for sale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14,770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13,081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12,063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11,609</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Securities held to maturity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4,426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4,870</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2,801</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3,712</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5,019</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4,508</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2,186</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355" w:type="dxa"/>
            <w:tcBorders>
              <w:bottom w:val="single" w:sz="12" w:space="0" w:color="000000"/>
            </w:tcBorders>
            <w:shd w:fill="CCEEFF" w:val="clear"/>
            <w:tcMar>
              <w:bottom w:w="28" w:type="dxa"/>
            </w:tcM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Total interest, fee and dividend income</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185,761</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182,646</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188,544</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190,467</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177,577</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Interest expense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44,879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44,835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49,426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52,101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48,219</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Short-term borrowings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816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1,046</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296</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Subordinated debt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510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2,001</w:t>
            </w:r>
          </w:p>
        </w:tc>
        <w:tc>
          <w:tcPr>
            <w:tcW w:w="60" w:type="dxa"/>
            <w:tcBorders/>
            <w:vAlign w:val="bottom"/>
          </w:tcPr>
          <w:p>
            <w:pPr>
              <w:pStyle w:val="TableContents"/>
              <w:bidi w:val="0"/>
              <w:spacing w:before="0" w:after="283"/>
              <w:jc w:val="left"/>
              <w:rPr/>
            </w:pPr>
            <w:r>
              <w:rPr/>
              <w:t> </w:t>
            </w:r>
          </w:p>
        </w:tc>
      </w:tr>
      <w:tr>
        <w:trPr/>
        <w:tc>
          <w:tcPr>
            <w:tcW w:w="43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Junior subordinated debt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1,698</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1,690</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1,807</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1,890</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1,795</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4355" w:type="dxa"/>
            <w:tcBorders>
              <w:bottom w:val="single" w:sz="12" w:space="0" w:color="000000"/>
            </w:tcBorders>
            <w:tcMar>
              <w:bottom w:w="28" w:type="dxa"/>
            </w:tcMar>
            <w:vAlign w:val="bottom"/>
          </w:tcPr>
          <w:p>
            <w:pPr>
              <w:pStyle w:val="TableContents"/>
              <w:bidi w:val="0"/>
              <w:spacing w:before="0" w:after="0"/>
              <w:jc w:val="left"/>
              <w:rPr/>
            </w:pPr>
            <w:r>
              <w:rPr/>
              <w:t>  </w:t>
            </w:r>
            <w:r>
              <w:rPr>
                <w:rFonts w:ascii="Times New Roman" w:hAnsi="Times New Roman"/>
                <w:sz w:val="20"/>
              </w:rPr>
              <w:t>Total interest expense</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48,798</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48,298</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53,104</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55,804</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53,357</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interest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136,963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134,348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135,440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134,663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124,220</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Provision for loan losses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6,136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5,577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3,765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4,813</w:t>
            </w:r>
          </w:p>
        </w:tc>
        <w:tc>
          <w:tcPr>
            <w:tcW w:w="60" w:type="dxa"/>
            <w:tcBorders/>
            <w:vAlign w:val="bottom"/>
          </w:tcPr>
          <w:p>
            <w:pPr>
              <w:pStyle w:val="TableContents"/>
              <w:bidi w:val="0"/>
              <w:spacing w:before="0" w:after="283"/>
              <w:jc w:val="left"/>
              <w:rPr/>
            </w:pPr>
            <w:r>
              <w:rPr/>
              <w:t> </w:t>
            </w:r>
          </w:p>
        </w:tc>
      </w:tr>
      <w:tr>
        <w:trPr/>
        <w:tc>
          <w:tcPr>
            <w:tcW w:w="43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Provision for loan losses - acquisition day 1 non-PCD</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13,022</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435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Total provision for loan losses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6,136</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5,577</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3,765</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3,100</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17,835</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355" w:type="dxa"/>
            <w:tcBorders>
              <w:bottom w:val="single" w:sz="12" w:space="0" w:color="000000"/>
            </w:tcBorders>
            <w:shd w:fill="CCEEFF" w:val="clear"/>
            <w:tcMar>
              <w:bottom w:w="28" w:type="dxa"/>
            </w:tcM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interest income after provision for loan losses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130,827</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128,771</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131,675</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131,563</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106,385</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Noninterest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Service charges on deposit accounts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5,194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5,146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4,578</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Card services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6,613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6,205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6,389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6,077</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Retirement plan administration fees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16,928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16,566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14,104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15,913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15,710</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Wealth management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10,948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11,134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12,028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11,103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10,678</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Insurance services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4,177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4,482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4,097</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Bank owned life insurance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2,505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3,576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3,240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2,180</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securities gains (losses)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112</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3,187</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3,557</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4,586</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4,402</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3,500</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355" w:type="dxa"/>
            <w:tcBorders>
              <w:bottom w:val="single" w:sz="12" w:space="0" w:color="000000"/>
            </w:tcBorders>
            <w:shd w:fill="CCEEFF" w:val="clear"/>
            <w:tcMar>
              <w:bottom w:w="28" w:type="dxa"/>
            </w:tcM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Total noninterest income</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49,727</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50,136</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49,704</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51,405</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46,932</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Noninterest expense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Salaries and employee benefits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69,004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68,759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65,993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66,636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64,155</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Technology and data services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11,850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11,510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11,803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11,180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10,804</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Occupancy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9,475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11,010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9,267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9,053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9,038</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Professional fees and outside services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5,662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5,554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5,941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5,021</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3,191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3,348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3,042</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Reserve for unfunded loan commitments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1,702</w:t>
            </w:r>
          </w:p>
        </w:tc>
        <w:tc>
          <w:tcPr>
            <w:tcW w:w="6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Acquisition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17,180</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12,256</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12,351</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15,537</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14,096</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11,668</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355" w:type="dxa"/>
            <w:tcBorders>
              <w:bottom w:val="single" w:sz="12" w:space="0" w:color="000000"/>
            </w:tcBorders>
            <w:shd w:fill="CCEEFF" w:val="clear"/>
            <w:tcMar>
              <w:bottom w:w="28" w:type="dxa"/>
            </w:tcM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Total noninterest expense</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111,438</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112,232</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111,688</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111,143</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122,610</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Income before income tax expense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69,116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66,675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69,691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71,825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30,707</w:t>
            </w:r>
          </w:p>
        </w:tc>
        <w:tc>
          <w:tcPr>
            <w:tcW w:w="60" w:type="dxa"/>
            <w:tcBorders/>
            <w:vAlign w:val="bottom"/>
          </w:tcPr>
          <w:p>
            <w:pPr>
              <w:pStyle w:val="TableContents"/>
              <w:bidi w:val="0"/>
              <w:spacing w:before="0" w:after="283"/>
              <w:jc w:val="left"/>
              <w:rPr/>
            </w:pPr>
            <w:r>
              <w:rPr/>
              <w:t> </w:t>
            </w:r>
          </w:p>
        </w:tc>
      </w:tr>
      <w:tr>
        <w:trPr/>
        <w:tc>
          <w:tcPr>
            <w:tcW w:w="43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16,086</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15,533</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14,182</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17,354</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8,197</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4355" w:type="dxa"/>
            <w:tcBorders>
              <w:bottom w:val="single" w:sz="12" w:space="0" w:color="000000"/>
            </w:tcBorders>
            <w:tcMar>
              <w:bottom w:w="28" w:type="dxa"/>
            </w:tcMar>
            <w:vAlign w:val="bottom"/>
          </w:tcPr>
          <w:p>
            <w:pPr>
              <w:pStyle w:val="TableContents"/>
              <w:bidi w:val="0"/>
              <w:spacing w:before="0" w:after="0"/>
              <w:ind w:left="180" w:right="0" w:hanging="0"/>
              <w:jc w:val="left"/>
              <w:rPr>
                <w:rFonts w:ascii="Times New Roman" w:hAnsi="Times New Roman"/>
                <w:b/>
                <w:sz w:val="20"/>
              </w:rPr>
            </w:pPr>
            <w:r>
              <w:rPr>
                <w:rFonts w:ascii="Times New Roman" w:hAnsi="Times New Roman"/>
                <w:b/>
                <w:sz w:val="20"/>
              </w:rPr>
              <w:t>Net income</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53,030</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51,142</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55,509</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54,471</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22,510</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rFonts w:ascii="Times New Roman" w:hAnsi="Times New Roman"/>
                <w:b/>
                <w:i/>
                <w:sz w:val="20"/>
              </w:rPr>
            </w:pPr>
            <w:r>
              <w:rPr>
                <w:rFonts w:ascii="Times New Roman" w:hAnsi="Times New Roman"/>
                <w:b/>
                <w:i/>
                <w:sz w:val="20"/>
              </w:rPr>
              <w:t>Earnings Per Share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0.45</w:t>
            </w:r>
          </w:p>
        </w:tc>
        <w:tc>
          <w:tcPr>
            <w:tcW w:w="60" w:type="dxa"/>
            <w:tcBorders/>
            <w:vAlign w:val="bottom"/>
          </w:tcPr>
          <w:p>
            <w:pPr>
              <w:pStyle w:val="TableContents"/>
              <w:bidi w:val="0"/>
              <w:spacing w:before="0" w:after="283"/>
              <w:jc w:val="left"/>
              <w:rPr/>
            </w:pPr>
            <w:r>
              <w:rPr/>
              <w:t> </w:t>
            </w:r>
          </w:p>
        </w:tc>
      </w:tr>
      <w:tr>
        <w:trPr/>
        <w:tc>
          <w:tcPr>
            <w:tcW w:w="43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1.02</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0.98</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1.06</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1.03</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0.44</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Normal"/>
        <w:bidi w:val="0"/>
        <w:spacing w:before="0" w:after="0"/>
        <w:jc w:val="left"/>
        <w:rPr>
          <w:sz w:val="4"/>
          <w:szCs w:val="4"/>
        </w:rPr>
      </w:pPr>
      <w:r>
        <w:rPr>
          <w:sz w:val="4"/>
          <w:szCs w:val="4"/>
        </w:rPr>
      </w:r>
      <w:bookmarkStart w:id="113" w:name="z29c93014fd3f45f988c6dddb10df24d9"/>
      <w:bookmarkStart w:id="114" w:name="z29c93014fd3f45f988c6dddb10df24d9"/>
      <w:bookmarkEnd w:id="114"/>
    </w:p>
    <w:tbl>
      <w:tblPr>
        <w:tblW w:w="13755" w:type="dxa"/>
        <w:jc w:val="left"/>
        <w:tblInd w:w="0" w:type="dxa"/>
        <w:tblLayout w:type="fixed"/>
        <w:tblCellMar>
          <w:top w:w="0" w:type="dxa"/>
          <w:left w:w="0" w:type="dxa"/>
          <w:bottom w:w="0" w:type="dxa"/>
          <w:right w:w="0" w:type="dxa"/>
        </w:tblCellMar>
      </w:tblPr>
      <w:tblGrid>
        <w:gridCol w:w="3425"/>
        <w:gridCol w:w="60"/>
        <w:gridCol w:w="125"/>
        <w:gridCol w:w="950"/>
        <w:gridCol w:w="60"/>
        <w:gridCol w:w="60"/>
        <w:gridCol w:w="68"/>
        <w:gridCol w:w="552"/>
        <w:gridCol w:w="215"/>
        <w:gridCol w:w="60"/>
        <w:gridCol w:w="125"/>
        <w:gridCol w:w="950"/>
        <w:gridCol w:w="60"/>
        <w:gridCol w:w="60"/>
        <w:gridCol w:w="84"/>
        <w:gridCol w:w="536"/>
        <w:gridCol w:w="185"/>
        <w:gridCol w:w="60"/>
        <w:gridCol w:w="125"/>
        <w:gridCol w:w="950"/>
        <w:gridCol w:w="60"/>
        <w:gridCol w:w="60"/>
        <w:gridCol w:w="84"/>
        <w:gridCol w:w="536"/>
        <w:gridCol w:w="185"/>
        <w:gridCol w:w="60"/>
        <w:gridCol w:w="125"/>
        <w:gridCol w:w="950"/>
        <w:gridCol w:w="60"/>
        <w:gridCol w:w="60"/>
        <w:gridCol w:w="84"/>
        <w:gridCol w:w="536"/>
        <w:gridCol w:w="185"/>
        <w:gridCol w:w="60"/>
        <w:gridCol w:w="125"/>
        <w:gridCol w:w="950"/>
        <w:gridCol w:w="60"/>
        <w:gridCol w:w="60"/>
        <w:gridCol w:w="84"/>
        <w:gridCol w:w="536"/>
        <w:gridCol w:w="185"/>
      </w:tblGrid>
      <w:tr>
        <w:trPr/>
        <w:tc>
          <w:tcPr>
            <w:tcW w:w="3425" w:type="dxa"/>
            <w:tcBorders/>
            <w:vAlign w:val="bottom"/>
          </w:tcPr>
          <w:p>
            <w:pPr>
              <w:pStyle w:val="TableContents"/>
              <w:bidi w:val="0"/>
              <w:spacing w:before="0" w:after="0"/>
              <w:jc w:val="left"/>
              <w:rPr>
                <w:rFonts w:ascii="Times New Roman" w:hAnsi="Times New Roman"/>
                <w:b/>
                <w:sz w:val="20"/>
              </w:rPr>
            </w:pPr>
            <w:bookmarkStart w:id="115" w:name="RANGEA1%3AL37"/>
            <w:bookmarkEnd w:id="115"/>
            <w:r>
              <w:rPr>
                <w:rFonts w:ascii="Times New Roman" w:hAnsi="Times New Roman"/>
                <w:b/>
                <w:sz w:val="20"/>
              </w:rPr>
              <w:t>NBT Bancorp Inc. and Subsidiaries</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34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Average Quarterly Balance Sheets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(unaudited, dollars in thousands)</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Average </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Yield / </w:t>
            </w:r>
          </w:p>
          <w:p>
            <w:pPr>
              <w:pStyle w:val="TableContents"/>
              <w:bidi w:val="0"/>
              <w:spacing w:before="0" w:after="0"/>
              <w:jc w:val="center"/>
              <w:rPr>
                <w:rFonts w:ascii="Times New Roman" w:hAnsi="Times New Roman"/>
                <w:b/>
                <w:sz w:val="20"/>
              </w:rPr>
            </w:pPr>
            <w:r>
              <w:rPr>
                <w:rFonts w:ascii="Times New Roman" w:hAnsi="Times New Roman"/>
                <w:b/>
                <w:sz w:val="20"/>
              </w:rPr>
              <w:t>Rates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Average </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Yield / </w:t>
            </w:r>
          </w:p>
          <w:p>
            <w:pPr>
              <w:pStyle w:val="TableContents"/>
              <w:bidi w:val="0"/>
              <w:spacing w:before="0" w:after="0"/>
              <w:jc w:val="center"/>
              <w:rPr>
                <w:rFonts w:ascii="Times New Roman" w:hAnsi="Times New Roman"/>
                <w:b/>
                <w:sz w:val="20"/>
              </w:rPr>
            </w:pPr>
            <w:r>
              <w:rPr>
                <w:rFonts w:ascii="Times New Roman" w:hAnsi="Times New Roman"/>
                <w:b/>
                <w:sz w:val="20"/>
              </w:rPr>
              <w:t>Rates</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Average </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Yield / </w:t>
            </w:r>
          </w:p>
          <w:p>
            <w:pPr>
              <w:pStyle w:val="TableContents"/>
              <w:bidi w:val="0"/>
              <w:spacing w:before="0" w:after="0"/>
              <w:jc w:val="center"/>
              <w:rPr>
                <w:rFonts w:ascii="Times New Roman" w:hAnsi="Times New Roman"/>
                <w:b/>
                <w:sz w:val="20"/>
              </w:rPr>
            </w:pPr>
            <w:r>
              <w:rPr>
                <w:rFonts w:ascii="Times New Roman" w:hAnsi="Times New Roman"/>
                <w:b/>
                <w:sz w:val="20"/>
              </w:rPr>
              <w:t>Rates</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Average </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Yield / </w:t>
            </w:r>
          </w:p>
          <w:p>
            <w:pPr>
              <w:pStyle w:val="TableContents"/>
              <w:bidi w:val="0"/>
              <w:spacing w:before="0" w:after="0"/>
              <w:jc w:val="center"/>
              <w:rPr>
                <w:rFonts w:ascii="Times New Roman" w:hAnsi="Times New Roman"/>
                <w:b/>
                <w:sz w:val="20"/>
              </w:rPr>
            </w:pPr>
            <w:r>
              <w:rPr>
                <w:rFonts w:ascii="Times New Roman" w:hAnsi="Times New Roman"/>
                <w:b/>
                <w:sz w:val="20"/>
              </w:rPr>
              <w:t>Rates</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Average </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Yield / </w:t>
            </w:r>
          </w:p>
          <w:p>
            <w:pPr>
              <w:pStyle w:val="TableContents"/>
              <w:bidi w:val="0"/>
              <w:spacing w:before="0" w:after="0"/>
              <w:jc w:val="center"/>
              <w:rPr>
                <w:rFonts w:ascii="Times New Roman" w:hAnsi="Times New Roman"/>
                <w:b/>
                <w:sz w:val="20"/>
              </w:rPr>
            </w:pPr>
            <w:r>
              <w:rPr>
                <w:rFonts w:ascii="Times New Roman" w:hAnsi="Times New Roman"/>
                <w:b/>
                <w:sz w:val="20"/>
              </w:rPr>
              <w:t>Rates</w:t>
            </w:r>
          </w:p>
        </w:tc>
        <w:tc>
          <w:tcPr>
            <w:tcW w:w="185"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top w:val="single" w:sz="12" w:space="0" w:color="000000"/>
              <w:left w:val="single" w:sz="1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1690" w:type="dxa"/>
            <w:gridSpan w:val="5"/>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Q2 - 2026</w:t>
            </w:r>
          </w:p>
        </w:tc>
        <w:tc>
          <w:tcPr>
            <w:tcW w:w="21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center"/>
              <w:rPr/>
            </w:pPr>
            <w:r>
              <w:rPr/>
              <w:t> </w:t>
            </w:r>
          </w:p>
        </w:tc>
        <w:tc>
          <w:tcPr>
            <w:tcW w:w="60"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center"/>
              <w:rPr/>
            </w:pPr>
            <w:r>
              <w:rPr/>
              <w:t> </w:t>
            </w:r>
          </w:p>
        </w:tc>
        <w:tc>
          <w:tcPr>
            <w:tcW w:w="125"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center"/>
              <w:rPr/>
            </w:pPr>
            <w:r>
              <w:rPr/>
              <w:t> </w:t>
            </w:r>
          </w:p>
        </w:tc>
        <w:tc>
          <w:tcPr>
            <w:tcW w:w="1690" w:type="dxa"/>
            <w:gridSpan w:val="5"/>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Q1 - 2026</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center"/>
              <w:rPr/>
            </w:pPr>
            <w:r>
              <w:rPr/>
              <w:t> </w:t>
            </w:r>
          </w:p>
        </w:tc>
        <w:tc>
          <w:tcPr>
            <w:tcW w:w="60"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center"/>
              <w:rPr/>
            </w:pPr>
            <w:r>
              <w:rPr/>
              <w:t> </w:t>
            </w:r>
          </w:p>
        </w:tc>
        <w:tc>
          <w:tcPr>
            <w:tcW w:w="125"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center"/>
              <w:rPr/>
            </w:pPr>
            <w:r>
              <w:rPr/>
              <w:t> </w:t>
            </w:r>
          </w:p>
        </w:tc>
        <w:tc>
          <w:tcPr>
            <w:tcW w:w="1690" w:type="dxa"/>
            <w:gridSpan w:val="5"/>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Q4 - 2025</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center"/>
              <w:rPr/>
            </w:pPr>
            <w:r>
              <w:rPr/>
              <w:t> </w:t>
            </w:r>
          </w:p>
        </w:tc>
        <w:tc>
          <w:tcPr>
            <w:tcW w:w="60"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center"/>
              <w:rPr/>
            </w:pPr>
            <w:r>
              <w:rPr/>
              <w:t> </w:t>
            </w:r>
          </w:p>
        </w:tc>
        <w:tc>
          <w:tcPr>
            <w:tcW w:w="1815"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Q3 - 2025</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center"/>
              <w:rPr/>
            </w:pPr>
            <w:r>
              <w:rPr/>
              <w:t> </w:t>
            </w:r>
          </w:p>
        </w:tc>
        <w:tc>
          <w:tcPr>
            <w:tcW w:w="60"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center"/>
              <w:rPr/>
            </w:pPr>
            <w:r>
              <w:rPr/>
              <w:t> </w:t>
            </w:r>
          </w:p>
        </w:tc>
        <w:tc>
          <w:tcPr>
            <w:tcW w:w="1815"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283"/>
              <w:jc w:val="center"/>
              <w:rPr>
                <w:b/>
                <w:sz w:val="20"/>
              </w:rPr>
            </w:pPr>
            <w:r>
              <w:rPr>
                <w:b/>
                <w:sz w:val="20"/>
              </w:rPr>
              <w:t>Q2 - 2025</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Short-term interest-bearing accounts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248,882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3.47</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356,403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450,719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3.93</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338,919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146,640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Securities taxable(1)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2,633,502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2.70</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2,547,841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2,513,465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2,464,271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2,486,349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shd w:fill="CCEEFF" w:val="cle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Securities tax-exempt(1)(5)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209,441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3.59</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192,429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3.63</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194,638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196,728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221,328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FRB and FHLB stock</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45,925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5.64</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44,589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44,632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42,790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39,176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bottom w:val="single" w:sz="12" w:space="0" w:color="000000"/>
            </w:tcBorders>
            <w:shd w:fill="CCEEFF" w:val="clear"/>
            <w:tcMar>
              <w:bottom w:w="28" w:type="dxa"/>
            </w:tcM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Loans(1)(6)</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11,666,871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5.64</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11,553,561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11,564,950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11,600,816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11,064,920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vAlign w:val="bottom"/>
          </w:tcPr>
          <w:p>
            <w:pPr>
              <w:pStyle w:val="TableContents"/>
              <w:bidi w:val="0"/>
              <w:spacing w:before="0" w:after="0"/>
              <w:ind w:left="0" w:right="0" w:firstLine="200"/>
              <w:jc w:val="left"/>
              <w:rPr>
                <w:rFonts w:ascii="Times New Roman" w:hAnsi="Times New Roman"/>
                <w:sz w:val="20"/>
              </w:rPr>
            </w:pPr>
            <w:r>
              <w:rPr>
                <w:rFonts w:ascii="Times New Roman" w:hAnsi="Times New Roman"/>
                <w:sz w:val="20"/>
              </w:rPr>
              <w:t>Total interest-earning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14,804,621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5.05</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14,694,823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14,768,404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14,643,524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13,958,413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1,300,564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1,315,235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1,317,791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1,344,775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1,242,690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34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16,105,185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16,010,058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16,086,195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15,988,299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15,201,103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jc w:val="left"/>
              <w:rPr>
                <w:rFonts w:ascii="Times New Roman" w:hAnsi="Times New Roman"/>
                <w:b/>
                <w:i/>
                <w:sz w:val="20"/>
              </w:rPr>
            </w:pPr>
            <w:r>
              <w:rPr>
                <w:rFonts w:ascii="Times New Roman" w:hAnsi="Times New Roman"/>
                <w:b/>
                <w:i/>
                <w:sz w:val="20"/>
              </w:rPr>
              <w:t>Liabilities and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Money market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4,273,336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2.64</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4,188,180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4,222,137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4,077,741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3,808,024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Interest-bearing checking deposits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2,118,007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1.02</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2,117,278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2,094,105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2,059,009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1,902,392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Savings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2,015,461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0.47</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1,953,096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1,919,032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1,947,627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1,852,027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Time deposits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1,351,024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2.68</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1,455,142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2.83</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1,533,062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1,633,647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1,600,908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vAlign w:val="bottom"/>
          </w:tcPr>
          <w:p>
            <w:pPr>
              <w:pStyle w:val="TableContents"/>
              <w:bidi w:val="0"/>
              <w:spacing w:before="0" w:after="0"/>
              <w:ind w:left="0" w:right="0" w:firstLine="200"/>
              <w:jc w:val="left"/>
              <w:rPr>
                <w:rFonts w:ascii="Times New Roman" w:hAnsi="Times New Roman"/>
                <w:sz w:val="20"/>
              </w:rPr>
            </w:pPr>
            <w:r>
              <w:rPr>
                <w:rFonts w:ascii="Times New Roman" w:hAnsi="Times New Roman"/>
                <w:sz w:val="20"/>
              </w:rPr>
              <w:t>Total interest-bearing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9,757,828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1.84</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9,713,696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9,768,336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9,718,024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9,163,351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Federal funds purchased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15,330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3.74</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14,231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Repurchase agreements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112,557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2.55</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126,024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137,832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123,573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89,957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Short-term borrowings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31,291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3.92</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27,845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43,072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4.14</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43,139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44,216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44,802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30,705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Subordinated debt,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24,259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10.10</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24,655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8.39</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24,338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8.23</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27,085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134,684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Junior subordinated debt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111,702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6.10</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111,679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111,654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111,629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107,948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shd w:fill="CCEEFF" w:val="clear"/>
            <w:vAlign w:val="bottom"/>
          </w:tcPr>
          <w:p>
            <w:pPr>
              <w:pStyle w:val="TableContents"/>
              <w:bidi w:val="0"/>
              <w:spacing w:before="0" w:after="0"/>
              <w:ind w:left="0" w:right="0" w:firstLine="200"/>
              <w:jc w:val="left"/>
              <w:rPr>
                <w:rFonts w:ascii="Times New Roman" w:hAnsi="Times New Roman"/>
                <w:sz w:val="20"/>
              </w:rPr>
            </w:pPr>
            <w:r>
              <w:rPr>
                <w:rFonts w:ascii="Times New Roman" w:hAnsi="Times New Roman"/>
                <w:sz w:val="20"/>
              </w:rPr>
              <w:t>Total interest-bearing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10,096,039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1.94</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10,019,193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10,086,376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2.09</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10,025,124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9,568,721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Demand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3,814,717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3,811,907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3,848,626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3,849,288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3,634,517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267,341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273,936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287,158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292,294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285,357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34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1,927,088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1,905,022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1,864,035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1,821,593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1,712,508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4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16,105,185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16,010,058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16,086,195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15,988,299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15,201,103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rate spread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3.11</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2.99</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shd w:fill="CCEEFF" w:val="cle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Net interest margin (FTE)(1)(3)</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3.73</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3.59</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cost of deposits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13,572,545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1.33</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13,525,603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13,616,962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13,567,312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12,797,868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cost of funds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13,910,756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1.41</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13,831,100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13,935,002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13,874,412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13,203,238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Normal"/>
        <w:bidi w:val="0"/>
        <w:spacing w:before="0" w:after="0"/>
        <w:jc w:val="left"/>
        <w:rPr>
          <w:sz w:val="4"/>
          <w:szCs w:val="4"/>
        </w:rPr>
      </w:pPr>
      <w:r>
        <w:rPr>
          <w:sz w:val="4"/>
          <w:szCs w:val="4"/>
        </w:rPr>
      </w:r>
      <w:bookmarkStart w:id="116" w:name="z651ca53993b441a0bdf5e86a73416d12"/>
      <w:bookmarkStart w:id="117" w:name="z651ca53993b441a0bdf5e86a73416d12"/>
      <w:bookmarkEnd w:id="117"/>
    </w:p>
    <w:tbl>
      <w:tblPr>
        <w:tblW w:w="9275" w:type="dxa"/>
        <w:jc w:val="left"/>
        <w:tblInd w:w="0" w:type="dxa"/>
        <w:tblLayout w:type="fixed"/>
        <w:tblCellMar>
          <w:top w:w="0" w:type="dxa"/>
          <w:left w:w="0" w:type="dxa"/>
          <w:bottom w:w="0" w:type="dxa"/>
          <w:right w:w="0" w:type="dxa"/>
        </w:tblCellMar>
      </w:tblPr>
      <w:tblGrid>
        <w:gridCol w:w="3425"/>
        <w:gridCol w:w="60"/>
        <w:gridCol w:w="125"/>
        <w:gridCol w:w="950"/>
        <w:gridCol w:w="60"/>
        <w:gridCol w:w="60"/>
        <w:gridCol w:w="125"/>
        <w:gridCol w:w="695"/>
        <w:gridCol w:w="60"/>
        <w:gridCol w:w="60"/>
        <w:gridCol w:w="72"/>
        <w:gridCol w:w="458"/>
        <w:gridCol w:w="215"/>
        <w:gridCol w:w="60"/>
        <w:gridCol w:w="125"/>
        <w:gridCol w:w="950"/>
        <w:gridCol w:w="60"/>
        <w:gridCol w:w="60"/>
        <w:gridCol w:w="125"/>
        <w:gridCol w:w="695"/>
        <w:gridCol w:w="60"/>
        <w:gridCol w:w="60"/>
        <w:gridCol w:w="72"/>
        <w:gridCol w:w="458"/>
        <w:gridCol w:w="185"/>
      </w:tblGrid>
      <w:tr>
        <w:trPr/>
        <w:tc>
          <w:tcPr>
            <w:tcW w:w="3425" w:type="dxa"/>
            <w:tcBorders/>
            <w:vAlign w:val="bottom"/>
          </w:tcPr>
          <w:p>
            <w:pPr>
              <w:pStyle w:val="TableContents"/>
              <w:bidi w:val="0"/>
              <w:spacing w:before="0" w:after="0"/>
              <w:jc w:val="left"/>
              <w:rPr>
                <w:rFonts w:ascii="Times New Roman" w:hAnsi="Times New Roman"/>
                <w:b/>
                <w:sz w:val="20"/>
              </w:rPr>
            </w:pPr>
            <w:bookmarkStart w:id="118" w:name="RANGEA1%3AH41"/>
            <w:bookmarkEnd w:id="118"/>
            <w:r>
              <w:rPr>
                <w:rFonts w:ascii="Times New Roman" w:hAnsi="Times New Roman"/>
                <w:b/>
                <w:sz w:val="20"/>
              </w:rPr>
              <w:t>NBT Bancorp Inc. and Subsidiaries</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34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Average Year-to-Date Balance Sheets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(unaudited, dollars in thousands)</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Average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Yield/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Average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Yield/</w:t>
            </w:r>
          </w:p>
        </w:tc>
        <w:tc>
          <w:tcPr>
            <w:tcW w:w="185"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Rates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Rates</w:t>
            </w:r>
          </w:p>
        </w:tc>
        <w:tc>
          <w:tcPr>
            <w:tcW w:w="185"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Six Months Ended June 30,</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2665" w:type="dxa"/>
            <w:gridSpan w:val="10"/>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21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left"/>
              <w:rPr/>
            </w:pPr>
            <w:r>
              <w:rPr/>
              <w:t> </w:t>
            </w:r>
          </w:p>
        </w:tc>
        <w:tc>
          <w:tcPr>
            <w:tcW w:w="2665" w:type="dxa"/>
            <w:gridSpan w:val="10"/>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Assets</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Short-term interest-bearing accounts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302,346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5,282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3.52</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105,150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Securities taxable(1)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2,590,908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34,186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2.66</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2,444,791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28,520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shd w:fill="CCEEFF" w:val="cle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Securities tax-exempt(1)(5)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200,982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3,598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3.61</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220,772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FRB and FHLB stock</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45,260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1,231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5.48</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36,338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bottom w:val="single" w:sz="12" w:space="0" w:color="000000"/>
            </w:tcBorders>
            <w:shd w:fill="CCEEFF" w:val="clear"/>
            <w:tcMar>
              <w:bottom w:w="28" w:type="dxa"/>
            </w:tcM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Loans(1)(6)</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11,610,529</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325,302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5.65</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10,526,197</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297,422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vAlign w:val="bottom"/>
          </w:tcPr>
          <w:p>
            <w:pPr>
              <w:pStyle w:val="TableContents"/>
              <w:bidi w:val="0"/>
              <w:spacing w:before="0" w:after="0"/>
              <w:ind w:left="0" w:right="0" w:firstLine="200"/>
              <w:jc w:val="left"/>
              <w:rPr>
                <w:rFonts w:ascii="Times New Roman" w:hAnsi="Times New Roman"/>
                <w:sz w:val="20"/>
              </w:rPr>
            </w:pPr>
            <w:r>
              <w:rPr>
                <w:rFonts w:ascii="Times New Roman" w:hAnsi="Times New Roman"/>
                <w:sz w:val="20"/>
              </w:rPr>
              <w:t>Total interest-earning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14,750,025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369,599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5.05</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13,333,248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333,272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1,307,859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1,165,806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34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16,057,884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14,499,054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jc w:val="left"/>
              <w:rPr>
                <w:rFonts w:ascii="Times New Roman" w:hAnsi="Times New Roman"/>
                <w:b/>
                <w:i/>
                <w:sz w:val="20"/>
              </w:rPr>
            </w:pPr>
            <w:r>
              <w:rPr>
                <w:rFonts w:ascii="Times New Roman" w:hAnsi="Times New Roman"/>
                <w:b/>
                <w:i/>
                <w:sz w:val="20"/>
              </w:rPr>
              <w:t>Liabilities and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Money market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4,230,993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55,340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2.64</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3,653,148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54,719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Interest-bearing checking deposits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2,117,645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10,824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1.03</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1,792,937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Savings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1,984,451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4,358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0.44</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1,712,624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Time deposits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1,402,795</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19,192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2.76</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1,526,292</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26,147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vAlign w:val="bottom"/>
          </w:tcPr>
          <w:p>
            <w:pPr>
              <w:pStyle w:val="TableContents"/>
              <w:bidi w:val="0"/>
              <w:spacing w:before="0" w:after="0"/>
              <w:ind w:left="0" w:right="0" w:firstLine="200"/>
              <w:jc w:val="left"/>
              <w:rPr>
                <w:rFonts w:ascii="Times New Roman" w:hAnsi="Times New Roman"/>
                <w:sz w:val="20"/>
              </w:rPr>
            </w:pPr>
            <w:r>
              <w:rPr>
                <w:rFonts w:ascii="Times New Roman" w:hAnsi="Times New Roman"/>
                <w:sz w:val="20"/>
              </w:rPr>
              <w:t>Total interest-bearing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9,735,884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89,714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1.86</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8,685,001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90,807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Federal funds purchased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7,707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3.74</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8,287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Repurchase agreements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119,253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2.60</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98,678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Short-term borrowings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15,732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3.91</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43,105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886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4.14</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29,198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Subordinated debt,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24,456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9.24</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128,044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Junior subordinated debt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111,691</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3,388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6.12</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104,590</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shd w:fill="CCEEFF" w:val="clear"/>
            <w:vAlign w:val="bottom"/>
          </w:tcPr>
          <w:p>
            <w:pPr>
              <w:pStyle w:val="TableContents"/>
              <w:bidi w:val="0"/>
              <w:spacing w:before="0" w:after="0"/>
              <w:ind w:left="0" w:right="0" w:firstLine="200"/>
              <w:jc w:val="left"/>
              <w:rPr>
                <w:rFonts w:ascii="Times New Roman" w:hAnsi="Times New Roman"/>
                <w:sz w:val="20"/>
              </w:rPr>
            </w:pPr>
            <w:r>
              <w:rPr>
                <w:rFonts w:ascii="Times New Roman" w:hAnsi="Times New Roman"/>
                <w:sz w:val="20"/>
              </w:rPr>
              <w:t>Total interest-bearing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10,057,828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97,096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1.95</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9,071,296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100,538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2.23</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Demand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3,813,319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3,510,487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270,621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291,139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34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1,916,116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1,626,132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4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16,057,884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14,499,054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lineRule="auto" w:line="240" w:before="0" w:after="0"/>
              <w:ind w:left="180" w:right="0" w:hanging="0"/>
              <w:jc w:val="left"/>
              <w:rPr>
                <w:rFonts w:ascii="Times New Roman" w:hAnsi="Times New Roman"/>
                <w:sz w:val="20"/>
              </w:rPr>
            </w:pPr>
            <w:r>
              <w:rPr>
                <w:rFonts w:ascii="Times New Roman" w:hAnsi="Times New Roman"/>
                <w:sz w:val="20"/>
              </w:rPr>
              <w:t>Net interest income (FTE)(1)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272,503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232,734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rate spread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3.10</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Net interest margin (FTE)(1)(3)</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3.73</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Taxable equivalent adjustment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interest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271,311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231,443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cost of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13,549,203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89,714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1.34</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12,195,488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90,807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cost of funds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13,871,147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97,096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1.41</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12,581,783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100,538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Normal"/>
        <w:bidi w:val="0"/>
        <w:spacing w:before="0" w:after="0"/>
        <w:jc w:val="left"/>
        <w:rPr>
          <w:sz w:val="4"/>
          <w:szCs w:val="4"/>
        </w:rPr>
      </w:pPr>
      <w:r>
        <w:rPr>
          <w:sz w:val="4"/>
          <w:szCs w:val="4"/>
        </w:rPr>
      </w:r>
      <w:bookmarkStart w:id="119" w:name="z9fabbb98e94349829a0fd704949cf485"/>
      <w:bookmarkStart w:id="120" w:name="z9fabbb98e94349829a0fd704949cf485"/>
      <w:bookmarkEnd w:id="120"/>
    </w:p>
    <w:tbl>
      <w:tblPr>
        <w:tblW w:w="9640" w:type="dxa"/>
        <w:jc w:val="left"/>
        <w:tblInd w:w="0" w:type="dxa"/>
        <w:tblLayout w:type="fixed"/>
        <w:tblCellMar>
          <w:top w:w="0" w:type="dxa"/>
          <w:left w:w="0" w:type="dxa"/>
          <w:bottom w:w="0" w:type="dxa"/>
          <w:right w:w="0" w:type="dxa"/>
        </w:tblCellMar>
      </w:tblPr>
      <w:tblGrid>
        <w:gridCol w:w="245"/>
        <w:gridCol w:w="9275"/>
        <w:gridCol w:w="60"/>
        <w:gridCol w:w="60"/>
      </w:tblGrid>
      <w:tr>
        <w:trPr/>
        <w:tc>
          <w:tcPr>
            <w:tcW w:w="245"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rPr>
              <w:t>(1)</w:t>
            </w:r>
          </w:p>
        </w:tc>
        <w:tc>
          <w:tcPr>
            <w:tcW w:w="9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following tables provide the Non-GAAP reconciliations for the Non-GAAP measures contained in this release: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21" w:name="zb4d2cc501a6743bd8a4b7a792b6110ba"/>
      <w:bookmarkStart w:id="122" w:name="zb4d2cc501a6743bd8a4b7a792b6110ba"/>
      <w:bookmarkEnd w:id="122"/>
    </w:p>
    <w:tbl>
      <w:tblPr>
        <w:tblW w:w="11480" w:type="dxa"/>
        <w:jc w:val="left"/>
        <w:tblInd w:w="0" w:type="dxa"/>
        <w:tblLayout w:type="fixed"/>
        <w:tblCellMar>
          <w:top w:w="0" w:type="dxa"/>
          <w:left w:w="0" w:type="dxa"/>
          <w:bottom w:w="0" w:type="dxa"/>
          <w:right w:w="0" w:type="dxa"/>
        </w:tblCellMar>
      </w:tblPr>
      <w:tblGrid>
        <w:gridCol w:w="4850"/>
        <w:gridCol w:w="60"/>
        <w:gridCol w:w="125"/>
        <w:gridCol w:w="950"/>
        <w:gridCol w:w="215"/>
        <w:gridCol w:w="60"/>
        <w:gridCol w:w="125"/>
        <w:gridCol w:w="950"/>
        <w:gridCol w:w="185"/>
        <w:gridCol w:w="60"/>
        <w:gridCol w:w="125"/>
        <w:gridCol w:w="950"/>
        <w:gridCol w:w="185"/>
        <w:gridCol w:w="60"/>
        <w:gridCol w:w="125"/>
        <w:gridCol w:w="950"/>
        <w:gridCol w:w="185"/>
        <w:gridCol w:w="60"/>
        <w:gridCol w:w="125"/>
        <w:gridCol w:w="950"/>
        <w:gridCol w:w="185"/>
      </w:tblGrid>
      <w:tr>
        <w:trPr/>
        <w:tc>
          <w:tcPr>
            <w:tcW w:w="4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measures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(unaudited, dollars in thousands except per share data)</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2425"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left"/>
              <w:rPr/>
            </w:pPr>
            <w:r>
              <w:rPr/>
              <w:t> </w:t>
            </w:r>
          </w:p>
        </w:tc>
        <w:tc>
          <w:tcPr>
            <w:tcW w:w="3715" w:type="dxa"/>
            <w:gridSpan w:val="10"/>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1st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4th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3rd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Operating net income</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top w:val="single" w:sz="12" w:space="0" w:color="000000"/>
              <w:bottom w:val="single" w:sz="12" w:space="0" w:color="000000"/>
            </w:tcBorders>
            <w:shd w:fill="CCEEFF" w:val="clear"/>
            <w:tcMar>
              <w:top w:w="28" w:type="dxa"/>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top w:val="single" w:sz="12" w:space="0" w:color="000000"/>
              <w:bottom w:val="single" w:sz="12" w:space="0" w:color="000000"/>
            </w:tcBorders>
            <w:shd w:fill="CCEEFF" w:val="clear"/>
            <w:tcMar>
              <w:top w:w="28" w:type="dxa"/>
              <w:bottom w:w="28" w:type="dxa"/>
            </w:tcMar>
            <w:vAlign w:val="bottom"/>
          </w:tcPr>
          <w:p>
            <w:pPr>
              <w:pStyle w:val="TableContents"/>
              <w:bidi w:val="0"/>
              <w:spacing w:before="0" w:after="283"/>
              <w:jc w:val="left"/>
              <w:rPr/>
            </w:pPr>
            <w:r>
              <w:rPr/>
              <w:t> </w:t>
            </w:r>
          </w:p>
        </w:tc>
        <w:tc>
          <w:tcPr>
            <w:tcW w:w="125" w:type="dxa"/>
            <w:tcBorders>
              <w:top w:val="single" w:sz="12" w:space="0" w:color="000000"/>
              <w:bottom w:val="single" w:sz="12" w:space="0" w:color="000000"/>
            </w:tcBorders>
            <w:shd w:fill="CCEEFF" w:val="clear"/>
            <w:tcMar>
              <w:top w:w="28" w:type="dxa"/>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top w:val="single" w:sz="12" w:space="0" w:color="000000"/>
              <w:bottom w:val="single" w:sz="12" w:space="0" w:color="000000"/>
            </w:tcBorders>
            <w:shd w:fill="CCEEFF" w:val="clear"/>
            <w:tcMar>
              <w:top w:w="28" w:type="dxa"/>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53,030</w:t>
            </w:r>
          </w:p>
        </w:tc>
        <w:tc>
          <w:tcPr>
            <w:tcW w:w="215" w:type="dxa"/>
            <w:tcBorders>
              <w:top w:val="single" w:sz="12" w:space="0" w:color="000000"/>
              <w:bottom w:val="single" w:sz="12" w:space="0" w:color="000000"/>
            </w:tcBorders>
            <w:shd w:fill="CCEEFF" w:val="clear"/>
            <w:tcMar>
              <w:top w:w="28" w:type="dxa"/>
              <w:bottom w:w="28" w:type="dxa"/>
            </w:tcMar>
            <w:vAlign w:val="bottom"/>
          </w:tcPr>
          <w:p>
            <w:pPr>
              <w:pStyle w:val="TableContents"/>
              <w:bidi w:val="0"/>
              <w:spacing w:before="0" w:after="283"/>
              <w:jc w:val="left"/>
              <w:rPr/>
            </w:pPr>
            <w:r>
              <w:rPr/>
              <w:t> </w:t>
            </w:r>
          </w:p>
        </w:tc>
        <w:tc>
          <w:tcPr>
            <w:tcW w:w="60" w:type="dxa"/>
            <w:tcBorders>
              <w:top w:val="single" w:sz="12" w:space="0" w:color="000000"/>
              <w:bottom w:val="single" w:sz="12" w:space="0" w:color="000000"/>
            </w:tcBorders>
            <w:shd w:fill="CCEEFF" w:val="clear"/>
            <w:tcMar>
              <w:top w:w="28" w:type="dxa"/>
              <w:bottom w:w="28" w:type="dxa"/>
            </w:tcMar>
            <w:vAlign w:val="bottom"/>
          </w:tcPr>
          <w:p>
            <w:pPr>
              <w:pStyle w:val="TableContents"/>
              <w:bidi w:val="0"/>
              <w:spacing w:before="0" w:after="283"/>
              <w:jc w:val="left"/>
              <w:rPr/>
            </w:pPr>
            <w:r>
              <w:rPr/>
              <w:t> </w:t>
            </w:r>
          </w:p>
        </w:tc>
        <w:tc>
          <w:tcPr>
            <w:tcW w:w="125" w:type="dxa"/>
            <w:tcBorders>
              <w:top w:val="single" w:sz="12" w:space="0" w:color="000000"/>
              <w:bottom w:val="single" w:sz="12" w:space="0" w:color="000000"/>
            </w:tcBorders>
            <w:shd w:fill="CCEEFF" w:val="clear"/>
            <w:tcMar>
              <w:top w:w="28" w:type="dxa"/>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top w:val="single" w:sz="12" w:space="0" w:color="000000"/>
              <w:bottom w:val="single" w:sz="12" w:space="0" w:color="000000"/>
            </w:tcBorders>
            <w:shd w:fill="CCEEFF" w:val="clear"/>
            <w:tcMar>
              <w:top w:w="28" w:type="dxa"/>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51,142</w:t>
            </w:r>
          </w:p>
        </w:tc>
        <w:tc>
          <w:tcPr>
            <w:tcW w:w="185" w:type="dxa"/>
            <w:tcBorders>
              <w:top w:val="single" w:sz="12" w:space="0" w:color="000000"/>
              <w:bottom w:val="single" w:sz="12" w:space="0" w:color="000000"/>
            </w:tcBorders>
            <w:shd w:fill="CCEEFF" w:val="clear"/>
            <w:tcMar>
              <w:top w:w="28" w:type="dxa"/>
              <w:bottom w:w="28" w:type="dxa"/>
            </w:tcMar>
            <w:vAlign w:val="bottom"/>
          </w:tcPr>
          <w:p>
            <w:pPr>
              <w:pStyle w:val="TableContents"/>
              <w:bidi w:val="0"/>
              <w:spacing w:before="0" w:after="283"/>
              <w:jc w:val="left"/>
              <w:rPr/>
            </w:pPr>
            <w:r>
              <w:rPr/>
              <w:t> </w:t>
            </w:r>
          </w:p>
        </w:tc>
        <w:tc>
          <w:tcPr>
            <w:tcW w:w="60" w:type="dxa"/>
            <w:tcBorders>
              <w:top w:val="single" w:sz="12" w:space="0" w:color="000000"/>
              <w:bottom w:val="single" w:sz="12" w:space="0" w:color="000000"/>
            </w:tcBorders>
            <w:shd w:fill="CCEEFF" w:val="clear"/>
            <w:tcMar>
              <w:top w:w="28" w:type="dxa"/>
              <w:bottom w:w="28" w:type="dxa"/>
            </w:tcMar>
            <w:vAlign w:val="bottom"/>
          </w:tcPr>
          <w:p>
            <w:pPr>
              <w:pStyle w:val="TableContents"/>
              <w:bidi w:val="0"/>
              <w:spacing w:before="0" w:after="283"/>
              <w:jc w:val="left"/>
              <w:rPr/>
            </w:pPr>
            <w:r>
              <w:rPr/>
              <w:t> </w:t>
            </w:r>
          </w:p>
        </w:tc>
        <w:tc>
          <w:tcPr>
            <w:tcW w:w="125" w:type="dxa"/>
            <w:tcBorders>
              <w:top w:val="single" w:sz="12" w:space="0" w:color="000000"/>
              <w:bottom w:val="single" w:sz="12" w:space="0" w:color="000000"/>
            </w:tcBorders>
            <w:shd w:fill="CCEEFF" w:val="clear"/>
            <w:tcMar>
              <w:top w:w="28" w:type="dxa"/>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top w:val="single" w:sz="12" w:space="0" w:color="000000"/>
              <w:bottom w:val="single" w:sz="12" w:space="0" w:color="000000"/>
            </w:tcBorders>
            <w:shd w:fill="CCEEFF" w:val="clear"/>
            <w:tcMar>
              <w:top w:w="28" w:type="dxa"/>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55,509</w:t>
            </w:r>
          </w:p>
        </w:tc>
        <w:tc>
          <w:tcPr>
            <w:tcW w:w="185" w:type="dxa"/>
            <w:tcBorders>
              <w:top w:val="single" w:sz="12" w:space="0" w:color="000000"/>
              <w:bottom w:val="single" w:sz="12" w:space="0" w:color="000000"/>
            </w:tcBorders>
            <w:shd w:fill="CCEEFF" w:val="clear"/>
            <w:tcMar>
              <w:top w:w="28" w:type="dxa"/>
              <w:bottom w:w="28" w:type="dxa"/>
            </w:tcMar>
            <w:vAlign w:val="bottom"/>
          </w:tcPr>
          <w:p>
            <w:pPr>
              <w:pStyle w:val="TableContents"/>
              <w:bidi w:val="0"/>
              <w:spacing w:before="0" w:after="283"/>
              <w:jc w:val="left"/>
              <w:rPr/>
            </w:pPr>
            <w:r>
              <w:rPr/>
              <w:t> </w:t>
            </w:r>
          </w:p>
        </w:tc>
        <w:tc>
          <w:tcPr>
            <w:tcW w:w="60" w:type="dxa"/>
            <w:tcBorders>
              <w:top w:val="single" w:sz="12" w:space="0" w:color="000000"/>
              <w:bottom w:val="single" w:sz="12" w:space="0" w:color="000000"/>
            </w:tcBorders>
            <w:shd w:fill="CCEEFF" w:val="clear"/>
            <w:tcMar>
              <w:top w:w="28" w:type="dxa"/>
              <w:bottom w:w="28" w:type="dxa"/>
            </w:tcMar>
            <w:vAlign w:val="bottom"/>
          </w:tcPr>
          <w:p>
            <w:pPr>
              <w:pStyle w:val="TableContents"/>
              <w:bidi w:val="0"/>
              <w:spacing w:before="0" w:after="283"/>
              <w:jc w:val="left"/>
              <w:rPr/>
            </w:pPr>
            <w:r>
              <w:rPr/>
              <w:t> </w:t>
            </w:r>
          </w:p>
        </w:tc>
        <w:tc>
          <w:tcPr>
            <w:tcW w:w="125" w:type="dxa"/>
            <w:tcBorders>
              <w:top w:val="single" w:sz="12" w:space="0" w:color="000000"/>
              <w:bottom w:val="single" w:sz="12" w:space="0" w:color="000000"/>
            </w:tcBorders>
            <w:shd w:fill="CCEEFF" w:val="clear"/>
            <w:tcMar>
              <w:top w:w="28" w:type="dxa"/>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top w:val="single" w:sz="12" w:space="0" w:color="000000"/>
              <w:bottom w:val="single" w:sz="12" w:space="0" w:color="000000"/>
            </w:tcBorders>
            <w:shd w:fill="CCEEFF" w:val="clear"/>
            <w:tcMar>
              <w:top w:w="28" w:type="dxa"/>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54,471</w:t>
            </w:r>
          </w:p>
        </w:tc>
        <w:tc>
          <w:tcPr>
            <w:tcW w:w="185" w:type="dxa"/>
            <w:tcBorders>
              <w:top w:val="single" w:sz="12" w:space="0" w:color="000000"/>
              <w:bottom w:val="single" w:sz="12" w:space="0" w:color="000000"/>
            </w:tcBorders>
            <w:shd w:fill="CCEEFF" w:val="clear"/>
            <w:tcMar>
              <w:top w:w="28" w:type="dxa"/>
              <w:bottom w:w="28" w:type="dxa"/>
            </w:tcMar>
            <w:vAlign w:val="bottom"/>
          </w:tcPr>
          <w:p>
            <w:pPr>
              <w:pStyle w:val="TableContents"/>
              <w:bidi w:val="0"/>
              <w:spacing w:before="0" w:after="283"/>
              <w:jc w:val="left"/>
              <w:rPr/>
            </w:pPr>
            <w:r>
              <w:rPr/>
              <w:t> </w:t>
            </w:r>
          </w:p>
        </w:tc>
        <w:tc>
          <w:tcPr>
            <w:tcW w:w="60" w:type="dxa"/>
            <w:tcBorders>
              <w:top w:val="single" w:sz="12" w:space="0" w:color="000000"/>
              <w:bottom w:val="single" w:sz="12" w:space="0" w:color="000000"/>
            </w:tcBorders>
            <w:shd w:fill="CCEEFF" w:val="clear"/>
            <w:tcMar>
              <w:top w:w="28" w:type="dxa"/>
              <w:bottom w:w="28" w:type="dxa"/>
            </w:tcMar>
            <w:vAlign w:val="bottom"/>
          </w:tcPr>
          <w:p>
            <w:pPr>
              <w:pStyle w:val="TableContents"/>
              <w:bidi w:val="0"/>
              <w:spacing w:before="0" w:after="283"/>
              <w:jc w:val="left"/>
              <w:rPr/>
            </w:pPr>
            <w:r>
              <w:rPr/>
              <w:t> </w:t>
            </w:r>
          </w:p>
        </w:tc>
        <w:tc>
          <w:tcPr>
            <w:tcW w:w="125" w:type="dxa"/>
            <w:tcBorders>
              <w:top w:val="single" w:sz="12" w:space="0" w:color="000000"/>
              <w:bottom w:val="single" w:sz="12" w:space="0" w:color="000000"/>
            </w:tcBorders>
            <w:shd w:fill="CCEEFF" w:val="clear"/>
            <w:tcMar>
              <w:top w:w="28" w:type="dxa"/>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top w:val="single" w:sz="12" w:space="0" w:color="000000"/>
              <w:bottom w:val="single" w:sz="12" w:space="0" w:color="000000"/>
            </w:tcBorders>
            <w:shd w:fill="CCEEFF" w:val="clear"/>
            <w:tcMar>
              <w:top w:w="28" w:type="dxa"/>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22,510</w:t>
            </w:r>
          </w:p>
        </w:tc>
        <w:tc>
          <w:tcPr>
            <w:tcW w:w="185" w:type="dxa"/>
            <w:tcBorders>
              <w:top w:val="single" w:sz="12" w:space="0" w:color="000000"/>
              <w:bottom w:val="single" w:sz="12" w:space="0" w:color="000000"/>
            </w:tcBorders>
            <w:shd w:fill="CCEEFF" w:val="clear"/>
            <w:tcMar>
              <w:top w:w="28" w:type="dxa"/>
              <w:bottom w:w="28" w:type="dxa"/>
            </w:tcMar>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expenses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17,180</w:t>
            </w:r>
          </w:p>
        </w:tc>
        <w:tc>
          <w:tcPr>
            <w:tcW w:w="185" w:type="dxa"/>
            <w:tcBorders/>
            <w:vAlign w:val="bottom"/>
          </w:tcPr>
          <w:p>
            <w:pPr>
              <w:pStyle w:val="TableContents"/>
              <w:bidi w:val="0"/>
              <w:spacing w:before="0" w:after="283"/>
              <w:jc w:val="left"/>
              <w:rPr/>
            </w:pPr>
            <w:r>
              <w:rPr/>
              <w:t> </w:t>
            </w:r>
          </w:p>
        </w:tc>
      </w:tr>
      <w:tr>
        <w:trPr/>
        <w:tc>
          <w:tcPr>
            <w:tcW w:w="48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Acquisition-related provision for credit losses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13,022</w:t>
            </w:r>
          </w:p>
        </w:tc>
        <w:tc>
          <w:tcPr>
            <w:tcW w:w="185" w:type="dxa"/>
            <w:tcBorders/>
            <w:shd w:fill="CCEEFF" w:val="clear"/>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Acquisition-related reserve for unfunded loan commitments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532</w:t>
            </w:r>
          </w:p>
        </w:tc>
        <w:tc>
          <w:tcPr>
            <w:tcW w:w="185" w:type="dxa"/>
            <w:tcBorders/>
            <w:vAlign w:val="bottom"/>
          </w:tcPr>
          <w:p>
            <w:pPr>
              <w:pStyle w:val="TableContents"/>
              <w:bidi w:val="0"/>
              <w:spacing w:before="0" w:after="283"/>
              <w:jc w:val="left"/>
              <w:rPr/>
            </w:pPr>
            <w:r>
              <w:rPr/>
              <w:t> </w:t>
            </w:r>
          </w:p>
        </w:tc>
      </w:tr>
      <w:tr>
        <w:trPr/>
        <w:tc>
          <w:tcPr>
            <w:tcW w:w="485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Securities (gains) losses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(175</w:t>
            </w:r>
          </w:p>
        </w:tc>
        <w:tc>
          <w:tcPr>
            <w:tcW w:w="21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(442</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(112</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85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Adjustments to net income</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(175</w:t>
            </w:r>
          </w:p>
        </w:tc>
        <w:tc>
          <w:tcPr>
            <w:tcW w:w="21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(442</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1,127</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30,622</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85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Adjustments to net income (net of tax)</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(134</w:t>
            </w:r>
          </w:p>
        </w:tc>
        <w:tc>
          <w:tcPr>
            <w:tcW w:w="21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(338</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(113</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851</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22,413</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485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Operating net income</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52,896</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50,804</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55,396</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55,322</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44,923</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8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diluted earnings per share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0.97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0.88</w:t>
            </w:r>
          </w:p>
        </w:tc>
        <w:tc>
          <w:tcPr>
            <w:tcW w:w="185" w:type="dxa"/>
            <w:tcBorders/>
            <w:shd w:fill="CCEEFF" w:val="clear"/>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2425"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6 Months Ended June 30,</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21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center"/>
              <w:rPr/>
            </w:pPr>
            <w:r>
              <w:rPr/>
              <w:t> </w:t>
            </w:r>
          </w:p>
        </w:tc>
        <w:tc>
          <w:tcPr>
            <w:tcW w:w="6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25" w:type="dxa"/>
            <w:tcBorders>
              <w:bottom w:val="single" w:sz="12" w:space="0" w:color="000000"/>
            </w:tcBorders>
            <w:tcMar>
              <w:bottom w:w="28" w:type="dxa"/>
            </w:tcMar>
            <w:vAlign w:val="bottom"/>
          </w:tcPr>
          <w:p>
            <w:pPr>
              <w:pStyle w:val="TableContents"/>
              <w:bidi w:val="0"/>
              <w:spacing w:before="0" w:after="283"/>
              <w:jc w:val="center"/>
              <w:rPr/>
            </w:pPr>
            <w:r>
              <w:rPr/>
              <w:t> </w:t>
            </w:r>
          </w:p>
        </w:tc>
        <w:tc>
          <w:tcPr>
            <w:tcW w:w="95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i/>
                <w:sz w:val="20"/>
              </w:rPr>
            </w:pPr>
            <w:r>
              <w:rPr>
                <w:rFonts w:ascii="Times New Roman" w:hAnsi="Times New Roman"/>
                <w:b/>
                <w:i/>
                <w:sz w:val="20"/>
              </w:rPr>
              <w:t>Operating net income</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104,172</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59,255</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expenses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18,401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Acquisition-related provision for credit losses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13,022</w:t>
            </w:r>
          </w:p>
        </w:tc>
        <w:tc>
          <w:tcPr>
            <w:tcW w:w="185" w:type="dxa"/>
            <w:tcBorders/>
            <w:shd w:fill="CCEEFF" w:val="cle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Acquisition-related reserve for unfunded loan commitments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532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Securities (gains)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(617</w:t>
            </w:r>
          </w:p>
        </w:tc>
        <w:tc>
          <w:tcPr>
            <w:tcW w:w="21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Adjustments to net income</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(617</w:t>
            </w:r>
          </w:p>
        </w:tc>
        <w:tc>
          <w:tcPr>
            <w:tcW w:w="21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31,947</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Adjustments to net income (net of tax)</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(472</w:t>
            </w:r>
          </w:p>
        </w:tc>
        <w:tc>
          <w:tcPr>
            <w:tcW w:w="21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24,120</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Operating net income</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103,700</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83,375</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diluted earnings per share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1.98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1.70</w:t>
            </w:r>
          </w:p>
        </w:tc>
        <w:tc>
          <w:tcPr>
            <w:tcW w:w="185" w:type="dxa"/>
            <w:tcBorders/>
            <w:shd w:fill="CCEEFF" w:val="cle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2425"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left"/>
              <w:rPr/>
            </w:pPr>
            <w:r>
              <w:rPr/>
              <w:t> </w:t>
            </w:r>
          </w:p>
        </w:tc>
        <w:tc>
          <w:tcPr>
            <w:tcW w:w="3715" w:type="dxa"/>
            <w:gridSpan w:val="10"/>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1st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4th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3rd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FTE adjustment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interest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136,963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134,348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135,440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134,663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124,220</w:t>
            </w:r>
          </w:p>
        </w:tc>
        <w:tc>
          <w:tcPr>
            <w:tcW w:w="185" w:type="dxa"/>
            <w:tcBorders/>
            <w:shd w:fill="CCEEFF" w:val="clear"/>
            <w:vAlign w:val="bottom"/>
          </w:tcPr>
          <w:p>
            <w:pPr>
              <w:pStyle w:val="TableContents"/>
              <w:bidi w:val="0"/>
              <w:spacing w:before="0" w:after="283"/>
              <w:jc w:val="left"/>
              <w:rPr/>
            </w:pPr>
            <w:r>
              <w:rPr/>
              <w:t> </w:t>
            </w:r>
          </w:p>
        </w:tc>
      </w:tr>
      <w:tr>
        <w:trPr/>
        <w:tc>
          <w:tcPr>
            <w:tcW w:w="485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Add: FTE adjustment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614</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578</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581</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594</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655</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48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interest income (FTE)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137,577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134,926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136,021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135,257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124,875</w:t>
            </w:r>
          </w:p>
        </w:tc>
        <w:tc>
          <w:tcPr>
            <w:tcW w:w="185" w:type="dxa"/>
            <w:tcBorders/>
            <w:shd w:fill="CCEEFF" w:val="clear"/>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Average earning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14,804,621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14,694,823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14,768,404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14,643,524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13,958,413</w:t>
            </w:r>
          </w:p>
        </w:tc>
        <w:tc>
          <w:tcPr>
            <w:tcW w:w="185" w:type="dxa"/>
            <w:tcBorders/>
            <w:vAlign w:val="bottom"/>
          </w:tcPr>
          <w:p>
            <w:pPr>
              <w:pStyle w:val="TableContents"/>
              <w:bidi w:val="0"/>
              <w:spacing w:before="0" w:after="283"/>
              <w:jc w:val="left"/>
              <w:rPr/>
            </w:pPr>
            <w:r>
              <w:rPr/>
              <w:t> </w:t>
            </w:r>
          </w:p>
        </w:tc>
      </w:tr>
      <w:tr>
        <w:trPr/>
        <w:tc>
          <w:tcPr>
            <w:tcW w:w="4850" w:type="dxa"/>
            <w:tcBorders/>
            <w:shd w:fill="CCEEFF" w:val="cle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Net interest margin (FTE)(3)</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3.73</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3.59</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2425"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6 Months Ended June 30,</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21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FTE adjustment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interest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271,311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231,443</w:t>
            </w:r>
          </w:p>
        </w:tc>
        <w:tc>
          <w:tcPr>
            <w:tcW w:w="185" w:type="dxa"/>
            <w:tcBorders/>
            <w:shd w:fill="CCEEFF" w:val="cle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Add: FTE adjustment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1,192</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1,291</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interest income (FTE)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272,503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232,734</w:t>
            </w:r>
          </w:p>
        </w:tc>
        <w:tc>
          <w:tcPr>
            <w:tcW w:w="185" w:type="dxa"/>
            <w:tcBorders/>
            <w:shd w:fill="CCEEFF" w:val="cle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Average earning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14,750,025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13,333,248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shd w:fill="CCEEFF" w:val="cle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Net interest margin (FTE)(3)</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3.73</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11295" w:type="dxa"/>
            <w:gridSpan w:val="20"/>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income for tax-exempt securities and loans have been adjusted to an FTE basis using the statutory Federal income tax rate of 21%.</w:t>
            </w:r>
          </w:p>
        </w:tc>
        <w:tc>
          <w:tcPr>
            <w:tcW w:w="18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Normal"/>
        <w:bidi w:val="0"/>
        <w:spacing w:before="0" w:after="0"/>
        <w:jc w:val="left"/>
        <w:rPr>
          <w:sz w:val="4"/>
          <w:szCs w:val="4"/>
        </w:rPr>
      </w:pPr>
      <w:r>
        <w:rPr>
          <w:sz w:val="4"/>
          <w:szCs w:val="4"/>
        </w:rPr>
      </w:r>
      <w:bookmarkStart w:id="123" w:name="zc60bd88572de488e8e514d8077a37969"/>
      <w:bookmarkStart w:id="124" w:name="zc60bd88572de488e8e514d8077a37969"/>
      <w:bookmarkEnd w:id="124"/>
    </w:p>
    <w:tbl>
      <w:tblPr>
        <w:tblW w:w="9610" w:type="dxa"/>
        <w:jc w:val="left"/>
        <w:tblInd w:w="0" w:type="dxa"/>
        <w:tblLayout w:type="fixed"/>
        <w:tblCellMar>
          <w:top w:w="0" w:type="dxa"/>
          <w:left w:w="0" w:type="dxa"/>
          <w:bottom w:w="0" w:type="dxa"/>
          <w:right w:w="0" w:type="dxa"/>
        </w:tblCellMar>
      </w:tblPr>
      <w:tblGrid>
        <w:gridCol w:w="260"/>
        <w:gridCol w:w="9275"/>
        <w:gridCol w:w="75"/>
      </w:tblGrid>
      <w:tr>
        <w:trPr/>
        <w:tc>
          <w:tcPr>
            <w:tcW w:w="260"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rPr>
              <w:t>(1)</w:t>
            </w:r>
          </w:p>
        </w:tc>
        <w:tc>
          <w:tcPr>
            <w:tcW w:w="9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following tables provide the Non-GAAP reconciliations for the Non-GAAP measures contained in this release:</w:t>
            </w:r>
          </w:p>
        </w:tc>
        <w:tc>
          <w:tcPr>
            <w:tcW w:w="75"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25" w:name="z2a07b5ea59fb461d98e69ebee6ae2604"/>
      <w:bookmarkStart w:id="126" w:name="z2a07b5ea59fb461d98e69ebee6ae2604"/>
      <w:bookmarkEnd w:id="126"/>
    </w:p>
    <w:tbl>
      <w:tblPr>
        <w:tblW w:w="10535" w:type="dxa"/>
        <w:jc w:val="left"/>
        <w:tblInd w:w="0" w:type="dxa"/>
        <w:tblLayout w:type="fixed"/>
        <w:tblCellMar>
          <w:top w:w="0" w:type="dxa"/>
          <w:left w:w="0" w:type="dxa"/>
          <w:bottom w:w="0" w:type="dxa"/>
          <w:right w:w="0" w:type="dxa"/>
        </w:tblCellMar>
      </w:tblPr>
      <w:tblGrid>
        <w:gridCol w:w="3905"/>
        <w:gridCol w:w="60"/>
        <w:gridCol w:w="125"/>
        <w:gridCol w:w="950"/>
        <w:gridCol w:w="215"/>
        <w:gridCol w:w="60"/>
        <w:gridCol w:w="125"/>
        <w:gridCol w:w="950"/>
        <w:gridCol w:w="185"/>
        <w:gridCol w:w="60"/>
        <w:gridCol w:w="125"/>
        <w:gridCol w:w="950"/>
        <w:gridCol w:w="185"/>
        <w:gridCol w:w="60"/>
        <w:gridCol w:w="125"/>
        <w:gridCol w:w="950"/>
        <w:gridCol w:w="185"/>
        <w:gridCol w:w="60"/>
        <w:gridCol w:w="125"/>
        <w:gridCol w:w="950"/>
        <w:gridCol w:w="185"/>
      </w:tblGrid>
      <w:tr>
        <w:trPr/>
        <w:tc>
          <w:tcPr>
            <w:tcW w:w="39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390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measures (continued)</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(unaudited, dollars in thousands)</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2425"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left"/>
              <w:rPr/>
            </w:pPr>
            <w:r>
              <w:rPr/>
              <w:t> </w:t>
            </w:r>
          </w:p>
        </w:tc>
        <w:tc>
          <w:tcPr>
            <w:tcW w:w="3715" w:type="dxa"/>
            <w:gridSpan w:val="10"/>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1st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4th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3rd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Tangible equity to tangible assets</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1,943,919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1,914,397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1,896,216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1,853,146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1,805,166</w:t>
            </w:r>
          </w:p>
        </w:tc>
        <w:tc>
          <w:tcPr>
            <w:tcW w:w="185" w:type="dxa"/>
            <w:tcBorders/>
            <w:shd w:fill="CCEEFF" w:val="cle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504,395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507,586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510,934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515,090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518,519</w:t>
            </w:r>
          </w:p>
        </w:tc>
        <w:tc>
          <w:tcPr>
            <w:tcW w:w="185"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16,214,957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16,204,406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15,995,121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16,112,584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16,014,781</w:t>
            </w:r>
          </w:p>
        </w:tc>
        <w:tc>
          <w:tcPr>
            <w:tcW w:w="185" w:type="dxa"/>
            <w:tcBorders/>
            <w:shd w:fill="CCEEFF" w:val="cle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Tangible equity to tangible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9.16</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8.58</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8.30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9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2425"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283"/>
              <w:jc w:val="center"/>
              <w:rPr>
                <w:b/>
                <w:sz w:val="20"/>
              </w:rPr>
            </w:pPr>
            <w:r>
              <w:rPr>
                <w:b/>
                <w:sz w:val="20"/>
              </w:rPr>
              <w:t>2026</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12" w:space="0" w:color="000000"/>
              <w:bottom w:val="single" w:sz="12" w:space="0" w:color="000000"/>
            </w:tcBorders>
            <w:tcMar>
              <w:top w:w="28" w:type="dxa"/>
              <w:bottom w:w="28" w:type="dxa"/>
            </w:tcMar>
            <w:vAlign w:val="bottom"/>
          </w:tcPr>
          <w:p>
            <w:pPr>
              <w:pStyle w:val="TableContents"/>
              <w:bidi w:val="0"/>
              <w:spacing w:before="0" w:after="283"/>
              <w:jc w:val="left"/>
              <w:rPr/>
            </w:pPr>
            <w:r>
              <w:rPr/>
              <w:t> </w:t>
            </w:r>
          </w:p>
        </w:tc>
        <w:tc>
          <w:tcPr>
            <w:tcW w:w="3715" w:type="dxa"/>
            <w:gridSpan w:val="10"/>
            <w:tcBorders>
              <w:top w:val="single" w:sz="12" w:space="0" w:color="000000"/>
              <w:bottom w:val="single" w:sz="12" w:space="0" w:color="000000"/>
            </w:tcBorders>
            <w:tcMar>
              <w:top w:w="28" w:type="dxa"/>
              <w:bottom w:w="28" w:type="dxa"/>
            </w:tcMar>
            <w:vAlign w:val="bottom"/>
          </w:tcPr>
          <w:p>
            <w:pPr>
              <w:pStyle w:val="TableContents"/>
              <w:bidi w:val="0"/>
              <w:spacing w:before="0" w:after="283"/>
              <w:jc w:val="center"/>
              <w:rPr>
                <w:b/>
                <w:sz w:val="20"/>
              </w:rPr>
            </w:pPr>
            <w:r>
              <w:rPr>
                <w:b/>
                <w:sz w:val="20"/>
              </w:rPr>
              <w:t>2025</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1st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4th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3rd Q</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2nd Q</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Return on average tangible common equity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53,030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51,142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55,509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54,471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22,510</w:t>
            </w:r>
          </w:p>
        </w:tc>
        <w:tc>
          <w:tcPr>
            <w:tcW w:w="185" w:type="dxa"/>
            <w:tcBorders/>
            <w:shd w:fill="CCEEFF" w:val="clear"/>
            <w:vAlign w:val="bottom"/>
          </w:tcPr>
          <w:p>
            <w:pPr>
              <w:pStyle w:val="TableContents"/>
              <w:bidi w:val="0"/>
              <w:spacing w:before="0" w:after="283"/>
              <w:jc w:val="left"/>
              <w:rPr/>
            </w:pPr>
            <w:r>
              <w:rPr/>
              <w:t> </w:t>
            </w:r>
          </w:p>
        </w:tc>
      </w:tr>
      <w:tr>
        <w:trPr/>
        <w:tc>
          <w:tcPr>
            <w:tcW w:w="390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 (net of tax)</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2,393</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2,511</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2,522</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2,572</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2,282</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390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Net income, excluding intangibles amortization</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55,423</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53,653</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58,031</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57,043</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24,792</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Average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1,927,088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1,905,022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1,864,035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1,821,593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1,712,508</w:t>
            </w:r>
          </w:p>
        </w:tc>
        <w:tc>
          <w:tcPr>
            <w:tcW w:w="185" w:type="dxa"/>
            <w:tcBorders/>
            <w:shd w:fill="CCEEFF" w:val="clear"/>
            <w:vAlign w:val="bottom"/>
          </w:tcPr>
          <w:p>
            <w:pPr>
              <w:pStyle w:val="TableContents"/>
              <w:bidi w:val="0"/>
              <w:spacing w:before="0" w:after="283"/>
              <w:jc w:val="left"/>
              <w:rPr/>
            </w:pPr>
            <w:r>
              <w:rPr/>
              <w:t> </w:t>
            </w:r>
          </w:p>
        </w:tc>
      </w:tr>
      <w:tr>
        <w:trPr/>
        <w:tc>
          <w:tcPr>
            <w:tcW w:w="390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Less: average goodwill and other intangibles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506,308</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509,643</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513,728</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517,271</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471,159</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390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Average tangible common equity</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1,420,780</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1,395,379</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1,350,307</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1,304,322</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1,241,349</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Return on average tangible common equity(3)</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15.65</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15.59</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17.05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17.35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8.01</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9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2425"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6 Months Ended June 30,</w:t>
            </w:r>
          </w:p>
        </w:tc>
        <w:tc>
          <w:tcPr>
            <w:tcW w:w="185" w:type="dxa"/>
            <w:tcBorders>
              <w:top w:val="single" w:sz="12" w:space="0" w:color="000000"/>
              <w:bottom w:val="single" w:sz="12" w:space="0" w:color="000000"/>
              <w:right w:val="single" w:sz="1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21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Return on average tangible common equity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104,172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59,255</w:t>
            </w:r>
          </w:p>
        </w:tc>
        <w:tc>
          <w:tcPr>
            <w:tcW w:w="185" w:type="dxa"/>
            <w:tcBorders/>
            <w:shd w:fill="CCEEFF" w:val="cle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90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 (net of tax)</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4,904</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3,865</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90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Net income, excluding intangibles amortization</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109,076</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63,120</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Average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1,916,116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1,626,132</w:t>
            </w:r>
          </w:p>
        </w:tc>
        <w:tc>
          <w:tcPr>
            <w:tcW w:w="185" w:type="dxa"/>
            <w:tcBorders/>
            <w:shd w:fill="CCEEFF" w:val="cle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90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Less: average goodwill and other intangibles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507,966</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434,897</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90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Average tangible common equity</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1,408,150</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1,191,235</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Return on average tangible common equity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15.62</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10.69</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27" w:name="z00e0d7c878974baf9b438a4aca1e1256"/>
      <w:bookmarkStart w:id="128" w:name="z00e0d7c878974baf9b438a4aca1e1256"/>
      <w:bookmarkEnd w:id="128"/>
    </w:p>
    <w:tbl>
      <w:tblPr>
        <w:tblW w:w="10855" w:type="dxa"/>
        <w:jc w:val="left"/>
        <w:tblInd w:w="0" w:type="dxa"/>
        <w:tblLayout w:type="fixed"/>
        <w:tblCellMar>
          <w:top w:w="0" w:type="dxa"/>
          <w:left w:w="0" w:type="dxa"/>
          <w:bottom w:w="0" w:type="dxa"/>
          <w:right w:w="0" w:type="dxa"/>
        </w:tblCellMar>
      </w:tblPr>
      <w:tblGrid>
        <w:gridCol w:w="185"/>
        <w:gridCol w:w="10670"/>
      </w:tblGrid>
      <w:tr>
        <w:trPr/>
        <w:tc>
          <w:tcPr>
            <w:tcW w:w="185"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rPr>
              <w:t>(2)</w:t>
            </w:r>
          </w:p>
        </w:tc>
        <w:tc>
          <w:tcPr>
            <w:tcW w:w="10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Non-GAAP measure - Stockholders’ equity less goodwill and intangible assets divided by common shares outstanding.</w:t>
            </w:r>
          </w:p>
        </w:tc>
      </w:tr>
      <w:tr>
        <w:trPr/>
        <w:tc>
          <w:tcPr>
            <w:tcW w:w="185"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rPr>
              <w:t>(3)</w:t>
            </w:r>
          </w:p>
        </w:tc>
        <w:tc>
          <w:tcPr>
            <w:tcW w:w="10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Annualized.</w:t>
            </w:r>
          </w:p>
        </w:tc>
      </w:tr>
      <w:tr>
        <w:trPr/>
        <w:tc>
          <w:tcPr>
            <w:tcW w:w="185"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rPr>
              <w:t>(4)</w:t>
            </w:r>
          </w:p>
        </w:tc>
        <w:tc>
          <w:tcPr>
            <w:tcW w:w="10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past due loans, defined as loans 30 days or more past due and in an accrual status.</w:t>
            </w:r>
          </w:p>
        </w:tc>
      </w:tr>
      <w:tr>
        <w:trPr/>
        <w:tc>
          <w:tcPr>
            <w:tcW w:w="185"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rPr>
              <w:t>(5)</w:t>
            </w:r>
          </w:p>
        </w:tc>
        <w:tc>
          <w:tcPr>
            <w:tcW w:w="10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Securities are shown at average amortized cost.</w:t>
            </w:r>
          </w:p>
        </w:tc>
      </w:tr>
      <w:tr>
        <w:trPr/>
        <w:tc>
          <w:tcPr>
            <w:tcW w:w="185"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rPr>
              <w:t>(6)</w:t>
            </w:r>
          </w:p>
        </w:tc>
        <w:tc>
          <w:tcPr>
            <w:tcW w:w="10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 purposes of these computations, nonaccrual loans and loans held for sale are included in the average loan balances outstanding.</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7397</Words>
  <Characters>37771</Characters>
  <CharactersWithSpaces>48434</CharactersWithSpaces>
  <Paragraphs>8670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